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66B9F" w14:textId="7A87EECF" w:rsidR="003F04EC" w:rsidRPr="005675C2" w:rsidRDefault="003F04EC" w:rsidP="005675C2">
      <w:pPr>
        <w:rPr>
          <w:b/>
          <w:bCs/>
          <w:color w:val="FF0000"/>
          <w:sz w:val="28"/>
          <w:szCs w:val="28"/>
          <w:u w:val="single"/>
        </w:rPr>
      </w:pPr>
      <w:r w:rsidRPr="005675C2">
        <w:rPr>
          <w:b/>
          <w:bCs/>
          <w:color w:val="FF0000"/>
          <w:sz w:val="28"/>
          <w:szCs w:val="28"/>
          <w:u w:val="single"/>
        </w:rPr>
        <w:t>Foundation Grants – March 2021</w:t>
      </w:r>
    </w:p>
    <w:p w14:paraId="5CBBC105" w14:textId="6ABF7960" w:rsidR="003F04EC" w:rsidRDefault="003F04EC" w:rsidP="005675C2">
      <w:r>
        <w:t>(Click on name of grantor to access application information and timelines)</w:t>
      </w:r>
    </w:p>
    <w:p w14:paraId="04899B6A" w14:textId="77777777" w:rsidR="003F04EC" w:rsidRPr="003F04EC" w:rsidRDefault="00DA799D" w:rsidP="003F04EC">
      <w:pPr>
        <w:spacing w:before="100" w:beforeAutospacing="1" w:after="100" w:afterAutospacing="1"/>
        <w:rPr>
          <w:rFonts w:eastAsia="Times New Roman" w:cstheme="minorHAnsi"/>
          <w:color w:val="0070C0"/>
        </w:rPr>
      </w:pPr>
      <w:hyperlink r:id="rId6" w:tgtFrame="_blank" w:tooltip="American Honda Foundation's Youth Grants" w:history="1">
        <w:r w:rsidR="003F04EC" w:rsidRPr="003F04EC">
          <w:rPr>
            <w:rFonts w:eastAsia="Times New Roman" w:cstheme="minorHAnsi"/>
            <w:b/>
            <w:bCs/>
            <w:color w:val="0070C0"/>
            <w:u w:val="single"/>
          </w:rPr>
          <w:t>American Honda Foundation's Youth Education Grants</w:t>
        </w:r>
      </w:hyperlink>
    </w:p>
    <w:p w14:paraId="2E1BD1CE" w14:textId="470160B0" w:rsidR="003F04EC" w:rsidRDefault="003F04EC" w:rsidP="003F04EC">
      <w:pPr>
        <w:spacing w:before="100" w:beforeAutospacing="1" w:after="100" w:afterAutospacing="1"/>
        <w:rPr>
          <w:rFonts w:eastAsia="Times New Roman" w:cstheme="minorHAnsi"/>
          <w:b/>
          <w:bCs/>
          <w:color w:val="484848"/>
        </w:rPr>
      </w:pPr>
      <w:r w:rsidRPr="003F04EC">
        <w:rPr>
          <w:rFonts w:eastAsia="Times New Roman" w:cstheme="minorHAnsi"/>
          <w:color w:val="484848"/>
        </w:rPr>
        <w:t>Honda aims to Help meet the needs of American society in the areas of youth and scientific education by awarding grants to nonprofits, while strategically assisting communities in deriving long-term benefits. Honda supports youth education with a specific focus on the STEM (science, technology, engineering and mathematics) subjects in addition to the environment. Maximum award: $75,000. Eligibility: 501(c)(3) public charity or a public school district, private/public elementary or secondary school as listed by the NCES. </w:t>
      </w:r>
      <w:r w:rsidRPr="003F04EC">
        <w:rPr>
          <w:rFonts w:eastAsia="Times New Roman" w:cstheme="minorHAnsi"/>
          <w:b/>
          <w:bCs/>
          <w:color w:val="484848"/>
        </w:rPr>
        <w:t>Deadline: Rolling.</w:t>
      </w:r>
    </w:p>
    <w:p w14:paraId="30A38425" w14:textId="77777777" w:rsidR="003F04EC" w:rsidRPr="003F04EC" w:rsidRDefault="00DA799D" w:rsidP="003F04EC">
      <w:pPr>
        <w:spacing w:before="100" w:beforeAutospacing="1" w:after="100" w:afterAutospacing="1"/>
        <w:rPr>
          <w:rFonts w:eastAsia="Times New Roman" w:cstheme="minorHAnsi"/>
          <w:color w:val="0070C0"/>
        </w:rPr>
      </w:pPr>
      <w:hyperlink r:id="rId7" w:history="1">
        <w:r w:rsidR="003F04EC" w:rsidRPr="003F04EC">
          <w:rPr>
            <w:rFonts w:eastAsia="Times New Roman" w:cstheme="minorHAnsi"/>
            <w:b/>
            <w:bCs/>
            <w:color w:val="0070C0"/>
            <w:u w:val="single"/>
          </w:rPr>
          <w:t>Toyota USA Foundation</w:t>
        </w:r>
      </w:hyperlink>
    </w:p>
    <w:p w14:paraId="0C114D85" w14:textId="77777777" w:rsidR="003F04EC" w:rsidRPr="003F04EC" w:rsidRDefault="003F04EC" w:rsidP="003F04EC">
      <w:pPr>
        <w:spacing w:before="100" w:beforeAutospacing="1" w:after="100" w:afterAutospacing="1"/>
        <w:rPr>
          <w:rFonts w:eastAsia="Times New Roman" w:cstheme="minorHAnsi"/>
          <w:color w:val="484848"/>
        </w:rPr>
      </w:pPr>
      <w:r w:rsidRPr="003F04EC">
        <w:rPr>
          <w:rFonts w:eastAsia="Times New Roman" w:cstheme="minorHAnsi"/>
          <w:color w:val="484848"/>
        </w:rPr>
        <w:t>The Toyota USA Foundation works to enhance quality of education in kindergarten through grade 12 by building partnerships with nonprofit organizations dedicated to improving the teaching and learning of mathematics, science, and environmental science. Eligible organizations must have qualified tax-exempt status and be located in and serve people in the United States. Priority is given to programs that are creative, innovative, and develop the potential of students and teachers; are broad in scope and incorporate a systemic approach; and are cost effective and possess a high potential for success with relatively low duplication of effort. The foundation will support only one program from an organization at a time. </w:t>
      </w:r>
      <w:r w:rsidRPr="003F04EC">
        <w:rPr>
          <w:rFonts w:eastAsia="Times New Roman" w:cstheme="minorHAnsi"/>
          <w:b/>
          <w:bCs/>
          <w:color w:val="484848"/>
        </w:rPr>
        <w:t>Deadline: Rolling</w:t>
      </w:r>
      <w:r w:rsidRPr="003F04EC">
        <w:rPr>
          <w:rFonts w:eastAsia="Times New Roman" w:cstheme="minorHAnsi"/>
          <w:color w:val="484848"/>
        </w:rPr>
        <w:t>.</w:t>
      </w:r>
    </w:p>
    <w:p w14:paraId="10CF0A2D" w14:textId="77777777" w:rsidR="003F04EC" w:rsidRPr="003F04EC" w:rsidRDefault="00DA799D" w:rsidP="003F04EC">
      <w:pPr>
        <w:spacing w:before="100" w:beforeAutospacing="1" w:after="100" w:afterAutospacing="1"/>
        <w:rPr>
          <w:rFonts w:eastAsia="Times New Roman" w:cstheme="minorHAnsi"/>
          <w:color w:val="0070C0"/>
        </w:rPr>
      </w:pPr>
      <w:hyperlink r:id="rId8" w:history="1">
        <w:r w:rsidR="003F04EC" w:rsidRPr="003F04EC">
          <w:rPr>
            <w:rFonts w:eastAsia="Times New Roman" w:cstheme="minorHAnsi"/>
            <w:color w:val="0070C0"/>
            <w:u w:val="single"/>
          </w:rPr>
          <w:t>Ford Foundation Grants</w:t>
        </w:r>
      </w:hyperlink>
    </w:p>
    <w:p w14:paraId="71C6158C" w14:textId="13BDA7D2" w:rsidR="003F04EC" w:rsidRPr="003F04EC" w:rsidRDefault="003F04EC" w:rsidP="003F04EC">
      <w:pPr>
        <w:spacing w:before="100" w:beforeAutospacing="1" w:after="100" w:afterAutospacing="1"/>
        <w:rPr>
          <w:rFonts w:eastAsia="Times New Roman" w:cstheme="minorHAnsi"/>
          <w:color w:val="000000" w:themeColor="text1"/>
        </w:rPr>
      </w:pPr>
      <w:r w:rsidRPr="003F04EC">
        <w:rPr>
          <w:rFonts w:eastAsia="Times New Roman" w:cstheme="minorHAnsi"/>
          <w:color w:val="000000" w:themeColor="text1"/>
        </w:rPr>
        <w:t>The Ford Foundation provides grants for projects and programs in three broad areas: (1) advancing knowledge, creativity, and achievement, (2) reducing poverty and injustice, and (3) promoting democratic values. Project activities must be educational, scientific, or charitable to be eligible for funding. </w:t>
      </w:r>
      <w:r w:rsidRPr="003F04EC">
        <w:rPr>
          <w:rFonts w:eastAsia="Times New Roman" w:cstheme="minorHAnsi"/>
          <w:b/>
          <w:bCs/>
          <w:color w:val="000000" w:themeColor="text1"/>
        </w:rPr>
        <w:t>Deadline: Rolling.</w:t>
      </w:r>
    </w:p>
    <w:p w14:paraId="5C18E35D" w14:textId="77777777" w:rsidR="003F04EC" w:rsidRPr="003F04EC" w:rsidRDefault="00DA799D" w:rsidP="003F04EC">
      <w:pPr>
        <w:spacing w:before="100" w:beforeAutospacing="1" w:after="100" w:afterAutospacing="1"/>
        <w:rPr>
          <w:rFonts w:eastAsia="Times New Roman" w:cstheme="minorHAnsi"/>
          <w:color w:val="0070C0"/>
        </w:rPr>
      </w:pPr>
      <w:hyperlink r:id="rId9" w:history="1">
        <w:r w:rsidR="003F04EC" w:rsidRPr="003F04EC">
          <w:rPr>
            <w:rFonts w:eastAsia="Times New Roman" w:cstheme="minorHAnsi"/>
            <w:b/>
            <w:bCs/>
            <w:color w:val="0070C0"/>
            <w:u w:val="single"/>
          </w:rPr>
          <w:t>Sony Corporation of America Grants</w:t>
        </w:r>
      </w:hyperlink>
    </w:p>
    <w:p w14:paraId="41D748DE" w14:textId="77777777" w:rsidR="003F04EC" w:rsidRPr="003F04EC" w:rsidRDefault="003F04EC" w:rsidP="003F04EC">
      <w:pPr>
        <w:spacing w:before="100" w:beforeAutospacing="1" w:after="100" w:afterAutospacing="1"/>
        <w:rPr>
          <w:rFonts w:eastAsia="Times New Roman" w:cstheme="minorHAnsi"/>
          <w:color w:val="484848"/>
        </w:rPr>
      </w:pPr>
      <w:r w:rsidRPr="003F04EC">
        <w:rPr>
          <w:rFonts w:eastAsia="Times New Roman" w:cstheme="minorHAnsi"/>
          <w:color w:val="484848"/>
        </w:rPr>
        <w:t>Sony Corporation of American and its operating companies offer funding to programs that support education and creative, artistic, technical, and scientific skills that are necessary for tomorrow’s workforce. Previous education grants have funded a wide range of environmental media teaching and research projects; meaningful environmental education events and programs; quality education programs for at-risk students; arts and arts education; equipment for educational nonprofits and academic institutions, including major colleges and universities across the country; youth mentoring educational program to teach students about workplace etiquette and various careers available in the technology and entertainment industries; and multiple other mentoring opportunities, including one-on-one, school-based, or in the workplace. Eligible applicants are nonprofit 501(c)(3) organizations. Priority is given to efforts that promote literacy and basic educational competency. </w:t>
      </w:r>
      <w:r w:rsidRPr="003F04EC">
        <w:rPr>
          <w:rFonts w:eastAsia="Times New Roman" w:cstheme="minorHAnsi"/>
          <w:b/>
          <w:bCs/>
          <w:color w:val="484848"/>
        </w:rPr>
        <w:t>Deadline: Rolling</w:t>
      </w:r>
      <w:r w:rsidRPr="003F04EC">
        <w:rPr>
          <w:rFonts w:eastAsia="Times New Roman" w:cstheme="minorHAnsi"/>
          <w:color w:val="484848"/>
        </w:rPr>
        <w:t>.</w:t>
      </w:r>
    </w:p>
    <w:p w14:paraId="7888F51A" w14:textId="77777777" w:rsidR="003F04EC" w:rsidRPr="003F04EC" w:rsidRDefault="00DA799D" w:rsidP="003F04EC">
      <w:pPr>
        <w:spacing w:before="100" w:beforeAutospacing="1" w:after="100" w:afterAutospacing="1"/>
        <w:rPr>
          <w:rFonts w:eastAsia="Times New Roman" w:cstheme="minorHAnsi"/>
          <w:color w:val="0070C0"/>
        </w:rPr>
      </w:pPr>
      <w:hyperlink r:id="rId10" w:history="1">
        <w:r w:rsidR="003F04EC" w:rsidRPr="003F04EC">
          <w:rPr>
            <w:rFonts w:eastAsia="Times New Roman" w:cstheme="minorHAnsi"/>
            <w:b/>
            <w:bCs/>
            <w:color w:val="0070C0"/>
            <w:u w:val="single"/>
          </w:rPr>
          <w:t>PPG Industries Foundation Education and Community Grants</w:t>
        </w:r>
      </w:hyperlink>
    </w:p>
    <w:p w14:paraId="392FDBC9" w14:textId="77777777" w:rsidR="003F04EC" w:rsidRPr="003F04EC" w:rsidRDefault="003F04EC" w:rsidP="003F04EC">
      <w:pPr>
        <w:spacing w:before="100" w:beforeAutospacing="1" w:after="100" w:afterAutospacing="1"/>
        <w:rPr>
          <w:rFonts w:eastAsia="Times New Roman" w:cstheme="minorHAnsi"/>
          <w:color w:val="484848"/>
        </w:rPr>
      </w:pPr>
      <w:r w:rsidRPr="003F04EC">
        <w:rPr>
          <w:rFonts w:eastAsia="Times New Roman" w:cstheme="minorHAnsi"/>
          <w:color w:val="484848"/>
        </w:rPr>
        <w:t>The PPG Industries Foundation favors projects that promote academic excellence and prepare the next generation of leaders in business, science, and technology. Support for students of high academic achievement and programs that attract young people to the study of science remain priorities for the foundation. PPG’s strategy for support of science, technology, engineering, and mathematics (STEM) initiatives is defined by the emerging macro trends that predict core markets, product offerings, and technology needs. </w:t>
      </w:r>
      <w:r w:rsidRPr="003F04EC">
        <w:rPr>
          <w:rFonts w:eastAsia="Times New Roman" w:cstheme="minorHAnsi"/>
          <w:b/>
          <w:bCs/>
          <w:color w:val="484848"/>
        </w:rPr>
        <w:t>Deadline: Rolling</w:t>
      </w:r>
      <w:r w:rsidRPr="003F04EC">
        <w:rPr>
          <w:rFonts w:eastAsia="Times New Roman" w:cstheme="minorHAnsi"/>
          <w:color w:val="484848"/>
        </w:rPr>
        <w:t>.</w:t>
      </w:r>
    </w:p>
    <w:p w14:paraId="1380C9F1" w14:textId="77777777" w:rsidR="003F04EC" w:rsidRPr="003F04EC" w:rsidRDefault="00DA799D" w:rsidP="003F04EC">
      <w:pPr>
        <w:spacing w:before="100" w:beforeAutospacing="1" w:after="100" w:afterAutospacing="1"/>
        <w:rPr>
          <w:rFonts w:eastAsia="Times New Roman" w:cstheme="minorHAnsi"/>
          <w:color w:val="0070C0"/>
        </w:rPr>
      </w:pPr>
      <w:hyperlink r:id="rId11" w:anchor="/education" w:tooltip="http://www.boeing.com/principles/community-engagement.page#/education" w:history="1">
        <w:r w:rsidR="003F04EC" w:rsidRPr="003F04EC">
          <w:rPr>
            <w:rFonts w:eastAsia="Times New Roman" w:cstheme="minorHAnsi"/>
            <w:b/>
            <w:bCs/>
            <w:color w:val="0070C0"/>
            <w:u w:val="single"/>
          </w:rPr>
          <w:t>Boeing Company Charitable Trust Education Grants</w:t>
        </w:r>
      </w:hyperlink>
    </w:p>
    <w:p w14:paraId="4ECFE1A4" w14:textId="77777777" w:rsidR="003F04EC" w:rsidRPr="003F04EC" w:rsidRDefault="003F04EC" w:rsidP="003F04EC">
      <w:pPr>
        <w:spacing w:before="100" w:beforeAutospacing="1" w:after="100" w:afterAutospacing="1"/>
        <w:rPr>
          <w:rFonts w:eastAsia="Times New Roman" w:cstheme="minorHAnsi"/>
          <w:color w:val="484848"/>
        </w:rPr>
      </w:pPr>
      <w:r w:rsidRPr="003F04EC">
        <w:rPr>
          <w:rFonts w:eastAsia="Times New Roman" w:cstheme="minorHAnsi"/>
          <w:color w:val="484848"/>
        </w:rPr>
        <w:t>Boeing intends to help students gain fundamental 21st century skills relevant to science, technology, engineering, and mathematics (STEM), such as the ability to think critically and solve problems, collaborate well, be creative, and communicate effectively.</w:t>
      </w:r>
    </w:p>
    <w:p w14:paraId="1810282C" w14:textId="77777777" w:rsidR="003F04EC" w:rsidRPr="003F04EC" w:rsidRDefault="003F04EC" w:rsidP="003F04EC">
      <w:pPr>
        <w:spacing w:before="100" w:beforeAutospacing="1" w:after="100" w:afterAutospacing="1"/>
        <w:rPr>
          <w:rFonts w:eastAsia="Times New Roman" w:cstheme="minorHAnsi"/>
          <w:color w:val="484848"/>
        </w:rPr>
      </w:pPr>
      <w:r w:rsidRPr="003F04EC">
        <w:rPr>
          <w:rFonts w:eastAsia="Times New Roman" w:cstheme="minorHAnsi"/>
          <w:color w:val="484848"/>
        </w:rPr>
        <w:t>Boeing funds programs that improve the preparation of early caregivers and drive public awareness of the importance of early education. Boeing also supports school and teacher leadership programs that support educators in shifting their practices so that they are equipped to create learning environments that allow students to practice and acquire twenty-first century skills. Finally, Boeing funds problem-based learning opportunities related to STEM experiences and skills for students and their families. </w:t>
      </w:r>
      <w:r w:rsidRPr="003F04EC">
        <w:rPr>
          <w:rFonts w:eastAsia="Times New Roman" w:cstheme="minorHAnsi"/>
          <w:b/>
          <w:bCs/>
          <w:color w:val="484848"/>
        </w:rPr>
        <w:t>Deadline: Based upon location</w:t>
      </w:r>
      <w:r w:rsidRPr="003F04EC">
        <w:rPr>
          <w:rFonts w:eastAsia="Times New Roman" w:cstheme="minorHAnsi"/>
          <w:color w:val="484848"/>
        </w:rPr>
        <w:t>.</w:t>
      </w:r>
    </w:p>
    <w:p w14:paraId="06E1419C" w14:textId="77777777" w:rsidR="003F04EC" w:rsidRPr="003F04EC" w:rsidRDefault="00DA799D" w:rsidP="003F04EC">
      <w:pPr>
        <w:spacing w:before="100" w:beforeAutospacing="1" w:after="100" w:afterAutospacing="1"/>
        <w:rPr>
          <w:rFonts w:eastAsia="Times New Roman" w:cstheme="minorHAnsi"/>
          <w:color w:val="0070C0"/>
        </w:rPr>
      </w:pPr>
      <w:hyperlink r:id="rId12" w:tooltip="https://www.costco.com/charitable-giving.html" w:history="1">
        <w:r w:rsidR="003F04EC" w:rsidRPr="003F04EC">
          <w:rPr>
            <w:rFonts w:eastAsia="Times New Roman" w:cstheme="minorHAnsi"/>
            <w:b/>
            <w:bCs/>
            <w:color w:val="0070C0"/>
            <w:u w:val="single"/>
          </w:rPr>
          <w:t>Costco Wholesale Grants</w:t>
        </w:r>
      </w:hyperlink>
    </w:p>
    <w:p w14:paraId="0A9EC023" w14:textId="073DB69D" w:rsidR="003F04EC" w:rsidRDefault="003F04EC" w:rsidP="003F04EC">
      <w:pPr>
        <w:spacing w:before="100" w:beforeAutospacing="1" w:after="100" w:afterAutospacing="1"/>
        <w:rPr>
          <w:rFonts w:eastAsia="Times New Roman" w:cstheme="minorHAnsi"/>
          <w:color w:val="484848"/>
        </w:rPr>
      </w:pPr>
      <w:r w:rsidRPr="003F04EC">
        <w:rPr>
          <w:rFonts w:eastAsia="Times New Roman" w:cstheme="minorHAnsi"/>
          <w:color w:val="484848"/>
        </w:rPr>
        <w:t>The Costco Charitable Contributions Committee oversees charitable donations to nonprofit organizations focusing on supporting children, education, and health and human services. Award amounts vary, and previous grants have gone to organizations such as United Way, Children’s Miracle Network Hospitals, and the Red Cross. Grant-giving focuses on communities in the markets where Costco does business (see the website for a more comprehensive list). </w:t>
      </w:r>
      <w:r w:rsidRPr="003F04EC">
        <w:rPr>
          <w:rFonts w:eastAsia="Times New Roman" w:cstheme="minorHAnsi"/>
          <w:b/>
          <w:bCs/>
          <w:color w:val="484848"/>
        </w:rPr>
        <w:t>Deadline: Rolling</w:t>
      </w:r>
      <w:r w:rsidRPr="003F04EC">
        <w:rPr>
          <w:rFonts w:eastAsia="Times New Roman" w:cstheme="minorHAnsi"/>
          <w:color w:val="484848"/>
        </w:rPr>
        <w:t>.</w:t>
      </w:r>
    </w:p>
    <w:p w14:paraId="7EDE8824" w14:textId="77777777" w:rsidR="003F04EC" w:rsidRPr="003F04EC" w:rsidRDefault="00DA799D" w:rsidP="003F04EC">
      <w:pPr>
        <w:spacing w:before="100" w:beforeAutospacing="1" w:after="100" w:afterAutospacing="1"/>
        <w:rPr>
          <w:rFonts w:eastAsia="Times New Roman" w:cstheme="minorHAnsi"/>
          <w:color w:val="0070C0"/>
        </w:rPr>
      </w:pPr>
      <w:hyperlink r:id="rId13" w:tooltip="https://www.obama.org/mbka/competition/" w:history="1">
        <w:r w:rsidR="003F04EC" w:rsidRPr="003F04EC">
          <w:rPr>
            <w:rFonts w:eastAsia="Times New Roman" w:cstheme="minorHAnsi"/>
            <w:b/>
            <w:bCs/>
            <w:color w:val="0070C0"/>
            <w:u w:val="single"/>
          </w:rPr>
          <w:t>My Brother’s Keeper Community Challenge Competition</w:t>
        </w:r>
      </w:hyperlink>
    </w:p>
    <w:p w14:paraId="5F77BF6B" w14:textId="5FFC502C" w:rsidR="003F04EC" w:rsidRDefault="003F04EC" w:rsidP="003F04EC">
      <w:pPr>
        <w:spacing w:before="100" w:beforeAutospacing="1" w:after="100" w:afterAutospacing="1"/>
        <w:rPr>
          <w:rFonts w:eastAsia="Times New Roman" w:cstheme="minorHAnsi"/>
          <w:color w:val="484848"/>
        </w:rPr>
      </w:pPr>
      <w:r w:rsidRPr="003F04EC">
        <w:rPr>
          <w:rFonts w:eastAsia="Times New Roman" w:cstheme="minorHAnsi"/>
          <w:color w:val="484848"/>
        </w:rPr>
        <w:t>The Obama Foundation recently announced that it will launch a competition for community-based organizations who want to reduce youth violence and increase the kind of mentoring that can change lives for young men of color. Winners will work with teams of experts to support planning, implementation, and infrastructure development, and they’ll also get matching funds to hire a local project lead and planning grants of up to $500,000 to help jump-start initiatives and raise additional resources. The RFP is open to organizations in the 250 communities who accepted President Obama's My Brother's Keeper Community Challenge. </w:t>
      </w:r>
      <w:r w:rsidRPr="003F04EC">
        <w:rPr>
          <w:rFonts w:eastAsia="Times New Roman" w:cstheme="minorHAnsi"/>
          <w:b/>
          <w:bCs/>
          <w:color w:val="484848"/>
        </w:rPr>
        <w:t>Deadline: TBA</w:t>
      </w:r>
      <w:r w:rsidRPr="003F04EC">
        <w:rPr>
          <w:rFonts w:eastAsia="Times New Roman" w:cstheme="minorHAnsi"/>
          <w:color w:val="484848"/>
        </w:rPr>
        <w:t>.</w:t>
      </w:r>
    </w:p>
    <w:p w14:paraId="78C46468" w14:textId="77777777" w:rsidR="005675C2" w:rsidRDefault="005675C2" w:rsidP="005675C2">
      <w:pPr>
        <w:rPr>
          <w:rFonts w:eastAsia="Times New Roman" w:cstheme="minorHAnsi"/>
          <w:b/>
          <w:bCs/>
          <w:color w:val="FF0000"/>
          <w:sz w:val="28"/>
          <w:szCs w:val="28"/>
          <w:u w:val="single"/>
        </w:rPr>
      </w:pPr>
    </w:p>
    <w:p w14:paraId="20098B17" w14:textId="77777777" w:rsidR="005675C2" w:rsidRDefault="005675C2" w:rsidP="005675C2">
      <w:pPr>
        <w:rPr>
          <w:rFonts w:eastAsia="Times New Roman" w:cstheme="minorHAnsi"/>
          <w:b/>
          <w:bCs/>
          <w:color w:val="FF0000"/>
          <w:sz w:val="28"/>
          <w:szCs w:val="28"/>
          <w:u w:val="single"/>
        </w:rPr>
      </w:pPr>
    </w:p>
    <w:p w14:paraId="355E36A8" w14:textId="214CF2C1" w:rsidR="005675C2" w:rsidRPr="005675C2" w:rsidRDefault="005675C2" w:rsidP="005675C2">
      <w:pPr>
        <w:rPr>
          <w:rFonts w:eastAsia="Times New Roman" w:cstheme="minorHAnsi"/>
          <w:color w:val="FF0000"/>
          <w:sz w:val="28"/>
          <w:szCs w:val="28"/>
          <w:u w:val="single"/>
        </w:rPr>
      </w:pPr>
      <w:bookmarkStart w:id="0" w:name="_GoBack"/>
      <w:bookmarkEnd w:id="0"/>
      <w:r w:rsidRPr="005675C2">
        <w:rPr>
          <w:rFonts w:eastAsia="Times New Roman" w:cstheme="minorHAnsi"/>
          <w:b/>
          <w:bCs/>
          <w:color w:val="FF0000"/>
          <w:sz w:val="28"/>
          <w:szCs w:val="28"/>
          <w:u w:val="single"/>
        </w:rPr>
        <w:lastRenderedPageBreak/>
        <w:t>National Science Foundation Grants</w:t>
      </w:r>
    </w:p>
    <w:p w14:paraId="5C346B1F" w14:textId="77777777" w:rsidR="005675C2" w:rsidRPr="009C79B5" w:rsidRDefault="005675C2" w:rsidP="005675C2">
      <w:pPr>
        <w:rPr>
          <w:rFonts w:eastAsia="Times New Roman" w:cstheme="minorHAnsi"/>
          <w:color w:val="000000"/>
          <w:sz w:val="22"/>
          <w:szCs w:val="22"/>
        </w:rPr>
      </w:pPr>
    </w:p>
    <w:p w14:paraId="61FE6C56" w14:textId="77777777" w:rsidR="005675C2" w:rsidRPr="00C97BCC" w:rsidRDefault="005675C2" w:rsidP="005675C2">
      <w:pPr>
        <w:rPr>
          <w:rFonts w:eastAsia="Times New Roman" w:cstheme="minorHAnsi"/>
          <w:color w:val="000000" w:themeColor="text1"/>
        </w:rPr>
      </w:pPr>
      <w:r w:rsidRPr="00C97BCC">
        <w:rPr>
          <w:rFonts w:eastAsia="Times New Roman" w:cstheme="minorHAnsi"/>
          <w:b/>
          <w:bCs/>
          <w:color w:val="000000" w:themeColor="text1"/>
        </w:rPr>
        <w:t xml:space="preserve">Partnerships for Innovation </w:t>
      </w:r>
    </w:p>
    <w:p w14:paraId="788F048B" w14:textId="77777777" w:rsidR="005675C2" w:rsidRPr="00C97BCC" w:rsidRDefault="005675C2" w:rsidP="005675C2">
      <w:pPr>
        <w:rPr>
          <w:rFonts w:eastAsia="Times New Roman" w:cstheme="minorHAnsi"/>
          <w:color w:val="0070C0"/>
        </w:rPr>
      </w:pPr>
      <w:hyperlink r:id="rId14" w:tgtFrame="new" w:history="1">
        <w:r w:rsidRPr="00C97BCC">
          <w:rPr>
            <w:rFonts w:eastAsia="Times New Roman" w:cstheme="minorHAnsi"/>
            <w:color w:val="0070C0"/>
          </w:rPr>
          <w:t>https://www.nsf.gov/pubs/2019/nsf19506/nsf19506.htm</w:t>
        </w:r>
      </w:hyperlink>
    </w:p>
    <w:p w14:paraId="21AE3884" w14:textId="77777777" w:rsidR="005675C2" w:rsidRPr="00C97BCC" w:rsidRDefault="005675C2" w:rsidP="005675C2">
      <w:pPr>
        <w:rPr>
          <w:rFonts w:eastAsia="Times New Roman" w:cstheme="minorHAnsi"/>
          <w:color w:val="000000"/>
        </w:rPr>
      </w:pPr>
    </w:p>
    <w:p w14:paraId="33BAE8B6" w14:textId="77777777" w:rsidR="005675C2" w:rsidRPr="00C97BCC" w:rsidRDefault="005675C2" w:rsidP="005675C2">
      <w:pPr>
        <w:rPr>
          <w:rFonts w:eastAsia="Times New Roman" w:cstheme="minorHAnsi"/>
          <w:color w:val="404040"/>
        </w:rPr>
      </w:pPr>
      <w:r w:rsidRPr="00C97BCC">
        <w:rPr>
          <w:rFonts w:eastAsia="Times New Roman" w:cstheme="minorHAnsi"/>
          <w:color w:val="404040"/>
        </w:rPr>
        <w:t>The National Science Foundation (NSF) Partnerships for Innovation program supports researchers from all disciplines of science and engineering funded by NSF to accelerate basic research results into marketable innovations to benefit society through the commercialization of products, processes, and services. Proposals are accepted in two tracks: PFI Technology Translation and PFI Research Partnerships. Proposals must address the following elements:</w:t>
      </w:r>
      <w:r w:rsidRPr="00C97BCC">
        <w:rPr>
          <w:rFonts w:eastAsia="Times New Roman" w:cstheme="minorHAnsi"/>
          <w:color w:val="404040"/>
        </w:rPr>
        <w:br/>
        <w:t>• Broadening participation of women and individuals from underrepresented groups in entrepreneurship, innovation, and technology translation.</w:t>
      </w:r>
      <w:r w:rsidRPr="00C97BCC">
        <w:rPr>
          <w:rFonts w:eastAsia="Times New Roman" w:cstheme="minorHAnsi"/>
          <w:color w:val="404040"/>
        </w:rPr>
        <w:br/>
        <w:t>• Demonstration of commercialization potential.</w:t>
      </w:r>
      <w:r w:rsidRPr="00C97BCC">
        <w:rPr>
          <w:rFonts w:eastAsia="Times New Roman" w:cstheme="minorHAnsi"/>
          <w:color w:val="404040"/>
        </w:rPr>
        <w:br/>
        <w:t>• Education and leadership development in entrepreneurship and innovation.</w:t>
      </w:r>
      <w:r w:rsidRPr="00C97BCC">
        <w:rPr>
          <w:rFonts w:eastAsia="Times New Roman" w:cstheme="minorHAnsi"/>
          <w:color w:val="404040"/>
        </w:rPr>
        <w:br/>
        <w:t>• Partnerships with academic institutions, industry, nonacademic research organizations, federal laboratories, and public or nonprofit technology transfer organizations.</w:t>
      </w:r>
      <w:r w:rsidRPr="00C97BCC">
        <w:rPr>
          <w:rFonts w:eastAsia="Times New Roman" w:cstheme="minorHAnsi"/>
          <w:color w:val="404040"/>
        </w:rPr>
        <w:br/>
        <w:t>• Technology development.</w:t>
      </w:r>
      <w:r w:rsidRPr="00C97BCC">
        <w:rPr>
          <w:rFonts w:eastAsia="Times New Roman" w:cstheme="minorHAnsi"/>
          <w:color w:val="404040"/>
        </w:rPr>
        <w:br/>
      </w:r>
      <w:r w:rsidRPr="00C97BCC">
        <w:rPr>
          <w:rFonts w:eastAsia="Times New Roman" w:cstheme="minorHAnsi"/>
          <w:color w:val="404040"/>
        </w:rPr>
        <w:br/>
      </w:r>
      <w:r w:rsidRPr="00C97BCC">
        <w:rPr>
          <w:rFonts w:eastAsia="Times New Roman" w:cstheme="minorHAnsi"/>
          <w:b/>
          <w:bCs/>
          <w:color w:val="000000" w:themeColor="text1"/>
        </w:rPr>
        <w:t>Eligible applicants are US public and private two- and four-year institutions of higher education, including community colleges; US public and nonprofit nonacademic organizations; US nonprofit organizations that partner with an institution of higher education; and US consortia of two or more eligible organizations.</w:t>
      </w:r>
      <w:r w:rsidRPr="00C97BCC">
        <w:rPr>
          <w:rFonts w:eastAsia="Times New Roman" w:cstheme="minorHAnsi"/>
          <w:i/>
          <w:iCs/>
          <w:color w:val="000000" w:themeColor="text1"/>
        </w:rPr>
        <w:t xml:space="preserve"> </w:t>
      </w:r>
      <w:r w:rsidRPr="00C97BCC">
        <w:rPr>
          <w:rFonts w:eastAsia="Times New Roman" w:cstheme="minorHAnsi"/>
          <w:color w:val="404040"/>
        </w:rPr>
        <w:t>Technology transfer organizations are strongly encouraged to partner with academic research institutions. Cost sharing and matching are not required. Applications must be submitted online.</w:t>
      </w:r>
    </w:p>
    <w:p w14:paraId="247E4FE8" w14:textId="77777777" w:rsidR="005675C2" w:rsidRPr="00C97BCC" w:rsidRDefault="005675C2" w:rsidP="005675C2">
      <w:pPr>
        <w:rPr>
          <w:rFonts w:eastAsia="Times New Roman" w:cstheme="minorHAnsi"/>
          <w:color w:val="404040"/>
        </w:rPr>
      </w:pPr>
    </w:p>
    <w:p w14:paraId="1CCC3D31" w14:textId="77777777" w:rsidR="005675C2" w:rsidRPr="00C97BCC" w:rsidRDefault="005675C2" w:rsidP="005675C2">
      <w:pPr>
        <w:rPr>
          <w:rFonts w:eastAsia="Times New Roman" w:cstheme="minorHAnsi"/>
          <w:color w:val="404040"/>
        </w:rPr>
      </w:pPr>
      <w:r w:rsidRPr="00C97BCC">
        <w:rPr>
          <w:rFonts w:eastAsia="Times New Roman" w:cstheme="minorHAnsi"/>
          <w:color w:val="404040"/>
        </w:rPr>
        <w:t>These are national grants with awards to $250,000 are awarded for PFI Technology Transfer proposals and up to $550,000 for PFI Research Partnerships proposals.</w:t>
      </w:r>
    </w:p>
    <w:p w14:paraId="62544655" w14:textId="77777777" w:rsidR="005675C2" w:rsidRPr="00C97BCC" w:rsidRDefault="005675C2" w:rsidP="005675C2">
      <w:pPr>
        <w:rPr>
          <w:rFonts w:eastAsia="Times New Roman" w:cstheme="minorHAnsi"/>
          <w:color w:val="404040"/>
        </w:rPr>
      </w:pPr>
      <w:r w:rsidRPr="00C97BCC">
        <w:rPr>
          <w:rFonts w:eastAsia="Times New Roman" w:cstheme="minorHAnsi"/>
          <w:color w:val="404040"/>
        </w:rPr>
        <w:t>Applications are due</w:t>
      </w:r>
      <w:r>
        <w:rPr>
          <w:rFonts w:eastAsia="Times New Roman" w:cstheme="minorHAnsi"/>
          <w:color w:val="404040"/>
        </w:rPr>
        <w:t xml:space="preserve"> </w:t>
      </w:r>
      <w:r w:rsidRPr="00C97BCC">
        <w:rPr>
          <w:rFonts w:eastAsia="Times New Roman" w:cstheme="minorHAnsi"/>
          <w:color w:val="404040"/>
        </w:rPr>
        <w:t>July 14, 2021; and the second Wednesday in July, annually thereafter.</w:t>
      </w:r>
    </w:p>
    <w:p w14:paraId="561B1A4C" w14:textId="77777777" w:rsidR="005675C2" w:rsidRPr="00C97BCC" w:rsidRDefault="005675C2" w:rsidP="005675C2">
      <w:pPr>
        <w:rPr>
          <w:rFonts w:eastAsia="Times New Roman" w:cstheme="minorHAnsi"/>
          <w:color w:val="000000"/>
        </w:rPr>
      </w:pPr>
    </w:p>
    <w:p w14:paraId="68CCB344" w14:textId="77777777" w:rsidR="005675C2" w:rsidRPr="009C79B5" w:rsidRDefault="005675C2" w:rsidP="005675C2">
      <w:pPr>
        <w:rPr>
          <w:rFonts w:eastAsia="Times New Roman" w:cstheme="minorHAnsi"/>
          <w:color w:val="000000"/>
          <w:sz w:val="22"/>
          <w:szCs w:val="22"/>
        </w:rPr>
      </w:pPr>
    </w:p>
    <w:p w14:paraId="100639DB" w14:textId="77777777" w:rsidR="005675C2" w:rsidRPr="00C97BCC" w:rsidRDefault="005675C2" w:rsidP="005675C2">
      <w:pPr>
        <w:rPr>
          <w:rFonts w:eastAsia="Times New Roman" w:cstheme="minorHAnsi"/>
          <w:color w:val="000000" w:themeColor="text1"/>
        </w:rPr>
      </w:pPr>
      <w:r w:rsidRPr="00C97BCC">
        <w:rPr>
          <w:rFonts w:eastAsia="Times New Roman" w:cstheme="minorHAnsi"/>
          <w:b/>
          <w:bCs/>
          <w:color w:val="000000" w:themeColor="text1"/>
        </w:rPr>
        <w:t>Improving Undergraduate STEM Education: Education and Human Resources</w:t>
      </w:r>
    </w:p>
    <w:p w14:paraId="59E64D97" w14:textId="77777777" w:rsidR="005675C2" w:rsidRPr="00C97BCC" w:rsidRDefault="005675C2" w:rsidP="005675C2">
      <w:pPr>
        <w:rPr>
          <w:rFonts w:eastAsia="Times New Roman" w:cstheme="minorHAnsi"/>
          <w:color w:val="0070C0"/>
        </w:rPr>
      </w:pPr>
      <w:hyperlink r:id="rId15" w:tgtFrame="new" w:history="1">
        <w:r w:rsidRPr="00C97BCC">
          <w:rPr>
            <w:rFonts w:eastAsia="Times New Roman" w:cstheme="minorHAnsi"/>
            <w:color w:val="0070C0"/>
          </w:rPr>
          <w:t>https://www.nsf.gov/funding/pgm_summ.jsp?pims_id=505082</w:t>
        </w:r>
      </w:hyperlink>
    </w:p>
    <w:p w14:paraId="733B7B2F" w14:textId="77777777" w:rsidR="005675C2" w:rsidRPr="00C97BCC" w:rsidRDefault="005675C2" w:rsidP="005675C2">
      <w:pPr>
        <w:rPr>
          <w:rFonts w:eastAsia="Times New Roman" w:cstheme="minorHAnsi"/>
          <w:color w:val="CC0000"/>
        </w:rPr>
      </w:pPr>
    </w:p>
    <w:p w14:paraId="378E577F" w14:textId="77777777" w:rsidR="005675C2" w:rsidRDefault="005675C2" w:rsidP="005675C2">
      <w:pPr>
        <w:rPr>
          <w:rFonts w:eastAsia="Times New Roman" w:cstheme="minorHAnsi"/>
          <w:b/>
          <w:bCs/>
          <w:color w:val="404040"/>
        </w:rPr>
      </w:pPr>
      <w:r w:rsidRPr="00C97BCC">
        <w:rPr>
          <w:rFonts w:eastAsia="Times New Roman" w:cstheme="minorHAnsi"/>
          <w:color w:val="404040"/>
        </w:rPr>
        <w:t>The Improving Undergraduate STEM Education: Education and Human Resources (IUSE: EHR) program invites proposals that address immediate challenges and opportunities that are facing undergraduate science, technology, engineering, and mathematics (STEM) education; as well as those that promote new approaches to using research on STEM learning and education.</w:t>
      </w:r>
      <w:r w:rsidRPr="00C97BCC">
        <w:rPr>
          <w:rFonts w:eastAsia="Times New Roman" w:cstheme="minorHAnsi"/>
          <w:color w:val="404040"/>
        </w:rPr>
        <w:br/>
      </w:r>
      <w:r w:rsidRPr="00C97BCC">
        <w:rPr>
          <w:rFonts w:eastAsia="Times New Roman" w:cstheme="minorHAnsi"/>
          <w:color w:val="404040"/>
        </w:rPr>
        <w:br/>
        <w:t>The program features two tracks: (1) engaged student learning, and (2) institutional and community transformation. Two tiers of projects exist within each track: (1) exploration and design, and (2) development and implementation.</w:t>
      </w:r>
      <w:r w:rsidRPr="00C97BCC">
        <w:rPr>
          <w:rFonts w:eastAsia="Times New Roman" w:cstheme="minorHAnsi"/>
          <w:color w:val="404040"/>
        </w:rPr>
        <w:br/>
      </w:r>
      <w:r w:rsidRPr="00C97BCC">
        <w:rPr>
          <w:rFonts w:eastAsia="Times New Roman" w:cstheme="minorHAnsi"/>
          <w:color w:val="404040"/>
        </w:rPr>
        <w:br/>
        <w:t>Proposals should demonstrate the following items:</w:t>
      </w:r>
      <w:r w:rsidRPr="00C97BCC">
        <w:rPr>
          <w:rFonts w:eastAsia="Times New Roman" w:cstheme="minorHAnsi"/>
          <w:color w:val="404040"/>
        </w:rPr>
        <w:br/>
        <w:t>• Use and build evidence about improved STEM instructional practices.</w:t>
      </w:r>
      <w:r w:rsidRPr="00C97BCC">
        <w:rPr>
          <w:rFonts w:eastAsia="Times New Roman" w:cstheme="minorHAnsi"/>
          <w:color w:val="404040"/>
        </w:rPr>
        <w:br/>
      </w:r>
      <w:r w:rsidRPr="00C97BCC">
        <w:rPr>
          <w:rFonts w:eastAsia="Times New Roman" w:cstheme="minorHAnsi"/>
          <w:color w:val="404040"/>
        </w:rPr>
        <w:lastRenderedPageBreak/>
        <w:t>• Design and study innovative learning opportunities, including cyberlearning.</w:t>
      </w:r>
      <w:r w:rsidRPr="00C97BCC">
        <w:rPr>
          <w:rFonts w:eastAsia="Times New Roman" w:cstheme="minorHAnsi"/>
          <w:color w:val="404040"/>
        </w:rPr>
        <w:br/>
        <w:t>• Create, implement, and test program, curricular, course, and technology-driven models.</w:t>
      </w:r>
      <w:r w:rsidRPr="00C97BCC">
        <w:rPr>
          <w:rFonts w:eastAsia="Times New Roman" w:cstheme="minorHAnsi"/>
          <w:color w:val="404040"/>
        </w:rPr>
        <w:br/>
        <w:t>• Develop, implement, and test creative approaches for adoption of education research into disciplinary teachings.</w:t>
      </w:r>
      <w:r w:rsidRPr="00C97BCC">
        <w:rPr>
          <w:rFonts w:eastAsia="Times New Roman" w:cstheme="minorHAnsi"/>
          <w:color w:val="404040"/>
        </w:rPr>
        <w:br/>
        <w:t>• Develop and validate assessments/metrics for undergraduate STEM learning and instructional practice.</w:t>
      </w:r>
      <w:r w:rsidRPr="00C97BCC">
        <w:rPr>
          <w:rFonts w:eastAsia="Times New Roman" w:cstheme="minorHAnsi"/>
          <w:color w:val="404040"/>
        </w:rPr>
        <w:br/>
        <w:t>• Conduct fundamental research on issues of undergraduate STEM teaching and learning.</w:t>
      </w:r>
      <w:r w:rsidRPr="00C97BCC">
        <w:rPr>
          <w:rFonts w:eastAsia="Times New Roman" w:cstheme="minorHAnsi"/>
          <w:color w:val="404040"/>
        </w:rPr>
        <w:br/>
      </w:r>
    </w:p>
    <w:p w14:paraId="4BF1B867" w14:textId="5B0DB2B9" w:rsidR="005675C2" w:rsidRPr="000866E5" w:rsidRDefault="005675C2" w:rsidP="005675C2">
      <w:pPr>
        <w:rPr>
          <w:rFonts w:eastAsia="Times New Roman" w:cstheme="minorHAnsi"/>
          <w:color w:val="404040"/>
        </w:rPr>
      </w:pPr>
      <w:r w:rsidRPr="000866E5">
        <w:rPr>
          <w:rFonts w:eastAsia="Times New Roman" w:cstheme="minorHAnsi"/>
          <w:b/>
          <w:bCs/>
          <w:color w:val="404040"/>
        </w:rPr>
        <w:t>Nonprofit organizations, institutions of higher education, and schools are eligible to apply.</w:t>
      </w:r>
      <w:r w:rsidRPr="00C97BCC">
        <w:rPr>
          <w:rFonts w:eastAsia="Times New Roman" w:cstheme="minorHAnsi"/>
          <w:color w:val="404040"/>
        </w:rPr>
        <w:t xml:space="preserve"> Applications must be submitted online.</w:t>
      </w:r>
      <w:r>
        <w:rPr>
          <w:rFonts w:eastAsia="Times New Roman" w:cstheme="minorHAnsi"/>
          <w:color w:val="404040"/>
        </w:rPr>
        <w:t xml:space="preserve"> </w:t>
      </w:r>
      <w:r w:rsidRPr="000866E5">
        <w:rPr>
          <w:rFonts w:eastAsia="Times New Roman" w:cstheme="minorHAnsi"/>
          <w:color w:val="404040"/>
        </w:rPr>
        <w:t>Proposals for engaged student learning and institution and community transformation are due August 3, 2021. </w:t>
      </w:r>
    </w:p>
    <w:p w14:paraId="133C2ADA" w14:textId="77777777" w:rsidR="005675C2" w:rsidRPr="000866E5" w:rsidRDefault="005675C2" w:rsidP="005675C2">
      <w:pPr>
        <w:rPr>
          <w:rFonts w:eastAsia="Times New Roman" w:cstheme="minorHAnsi"/>
          <w:color w:val="404040"/>
          <w:sz w:val="22"/>
          <w:szCs w:val="22"/>
        </w:rPr>
      </w:pPr>
    </w:p>
    <w:p w14:paraId="0644A219" w14:textId="77777777" w:rsidR="005675C2" w:rsidRPr="000866E5" w:rsidRDefault="005675C2" w:rsidP="005675C2">
      <w:pPr>
        <w:rPr>
          <w:rFonts w:eastAsia="Times New Roman" w:cstheme="minorHAnsi"/>
          <w:color w:val="000000"/>
        </w:rPr>
      </w:pPr>
      <w:r>
        <w:rPr>
          <w:rFonts w:eastAsia="Times New Roman" w:cstheme="minorHAnsi"/>
          <w:color w:val="000000"/>
        </w:rPr>
        <w:t>These are national grants and a</w:t>
      </w:r>
      <w:r w:rsidRPr="000866E5">
        <w:rPr>
          <w:rFonts w:eastAsia="Times New Roman" w:cstheme="minorHAnsi"/>
          <w:color w:val="000000"/>
        </w:rPr>
        <w:t xml:space="preserve">ward amounts vary. </w:t>
      </w:r>
    </w:p>
    <w:p w14:paraId="120B55B4" w14:textId="77777777" w:rsidR="005675C2" w:rsidRPr="000866E5" w:rsidRDefault="005675C2" w:rsidP="005675C2">
      <w:pPr>
        <w:rPr>
          <w:rFonts w:eastAsia="Times New Roman" w:cstheme="minorHAnsi"/>
          <w:color w:val="000000"/>
        </w:rPr>
      </w:pPr>
      <w:r>
        <w:rPr>
          <w:rFonts w:eastAsia="Times New Roman" w:cstheme="minorHAnsi"/>
          <w:color w:val="000000"/>
        </w:rPr>
        <w:t xml:space="preserve">Areas funded: </w:t>
      </w:r>
      <w:r w:rsidRPr="000866E5">
        <w:rPr>
          <w:rFonts w:eastAsia="Times New Roman" w:cstheme="minorHAnsi"/>
          <w:color w:val="404040"/>
        </w:rPr>
        <w:t>Engineering, STEM/STEAM/STREAM, Technology Education/Computer Science</w:t>
      </w:r>
    </w:p>
    <w:p w14:paraId="4F78B2D0" w14:textId="77777777" w:rsidR="005675C2" w:rsidRPr="009C79B5" w:rsidRDefault="005675C2" w:rsidP="005675C2">
      <w:pPr>
        <w:rPr>
          <w:rFonts w:eastAsia="Times New Roman" w:cstheme="minorHAnsi"/>
          <w:color w:val="000000"/>
          <w:sz w:val="22"/>
          <w:szCs w:val="22"/>
        </w:rPr>
      </w:pPr>
    </w:p>
    <w:p w14:paraId="6470AB21" w14:textId="77777777" w:rsidR="005675C2" w:rsidRPr="009C79B5" w:rsidRDefault="005675C2" w:rsidP="005675C2">
      <w:pPr>
        <w:rPr>
          <w:rFonts w:eastAsia="Times New Roman" w:cstheme="minorHAnsi"/>
          <w:color w:val="000000"/>
          <w:sz w:val="22"/>
          <w:szCs w:val="22"/>
        </w:rPr>
      </w:pPr>
    </w:p>
    <w:p w14:paraId="5161FB76" w14:textId="77777777" w:rsidR="005675C2" w:rsidRPr="000866E5" w:rsidRDefault="005675C2" w:rsidP="005675C2">
      <w:pPr>
        <w:rPr>
          <w:rFonts w:eastAsia="Times New Roman" w:cstheme="minorHAnsi"/>
          <w:b/>
          <w:bCs/>
          <w:color w:val="000000" w:themeColor="text1"/>
        </w:rPr>
      </w:pPr>
      <w:r w:rsidRPr="000866E5">
        <w:rPr>
          <w:rFonts w:eastAsia="Times New Roman" w:cstheme="minorHAnsi"/>
          <w:b/>
          <w:bCs/>
          <w:color w:val="000000" w:themeColor="text1"/>
        </w:rPr>
        <w:t>Innovative Technology Experiences for Students and Teachers (ITEST)</w:t>
      </w:r>
    </w:p>
    <w:p w14:paraId="36F8BBFA" w14:textId="77777777" w:rsidR="005675C2" w:rsidRPr="000866E5" w:rsidRDefault="005675C2" w:rsidP="005675C2">
      <w:pPr>
        <w:rPr>
          <w:rFonts w:eastAsia="Times New Roman" w:cstheme="minorHAnsi"/>
          <w:color w:val="0070C0"/>
        </w:rPr>
      </w:pPr>
      <w:hyperlink r:id="rId16" w:tgtFrame="new" w:history="1">
        <w:r w:rsidRPr="000866E5">
          <w:rPr>
            <w:rFonts w:eastAsia="Times New Roman" w:cstheme="minorHAnsi"/>
            <w:color w:val="0070C0"/>
          </w:rPr>
          <w:t>https://www.nsf.gov/funding/pgm_summ.jsp?pims_id=5467</w:t>
        </w:r>
      </w:hyperlink>
    </w:p>
    <w:p w14:paraId="7F50450D" w14:textId="77777777" w:rsidR="005675C2" w:rsidRPr="000866E5" w:rsidRDefault="005675C2" w:rsidP="005675C2">
      <w:pPr>
        <w:rPr>
          <w:rFonts w:eastAsia="Times New Roman" w:cstheme="minorHAnsi"/>
          <w:color w:val="0070C0"/>
        </w:rPr>
      </w:pPr>
    </w:p>
    <w:p w14:paraId="4575FEC1" w14:textId="77777777" w:rsidR="005675C2" w:rsidRDefault="005675C2" w:rsidP="005675C2">
      <w:pPr>
        <w:rPr>
          <w:rFonts w:eastAsia="Times New Roman" w:cstheme="minorHAnsi"/>
          <w:color w:val="404040"/>
        </w:rPr>
      </w:pPr>
      <w:r w:rsidRPr="000866E5">
        <w:rPr>
          <w:rFonts w:eastAsia="Times New Roman" w:cstheme="minorHAnsi"/>
          <w:color w:val="404040"/>
        </w:rPr>
        <w:t>The Innovative Technology Experiences for Students and Teachers (ITEST) program promotes prekindergarten through grade 12 students interests and capacities to participate in the science, technology, engineering, and mathematics (STEM) and information and communications technology (ICT) workforce of the future. To do this, ITEST supports the development, implementation, and selective spread of innovative strategies for engaging students in experiences that: (1) increase students' awareness of STEM occupations; (2) motivate students to pursue the appropriate education pathways for STEM occupations; and (3) develop disciplinary-based knowledge and practices, or promote critical thinking, reasoning, or communication skills needed for entering STEM workforce sectors.</w:t>
      </w:r>
      <w:r w:rsidRPr="000866E5">
        <w:rPr>
          <w:rFonts w:eastAsia="Times New Roman" w:cstheme="minorHAnsi"/>
          <w:color w:val="404040"/>
        </w:rPr>
        <w:br/>
      </w:r>
      <w:r w:rsidRPr="000866E5">
        <w:rPr>
          <w:rFonts w:eastAsia="Times New Roman" w:cstheme="minorHAnsi"/>
          <w:color w:val="404040"/>
        </w:rPr>
        <w:br/>
        <w:t>Nonprofit organizations and institutions of higher education are eligible to apply. Partnerships with prekindergarten through grade 12 schools, two- and four-year colleges, universities, informal science education institutions, government laboratories, or community-based organizations are encouraged along with business and industry partners that support, inform, and cultivate students' career awareness and interests. These partnerships can provide opportunities for career exploration and mentoring, interactions with technology and STEM professionals, and workplace applications of technology skills. Proposals must be submitted online.</w:t>
      </w:r>
    </w:p>
    <w:p w14:paraId="5ABB15D7" w14:textId="77777777" w:rsidR="005675C2" w:rsidRDefault="005675C2" w:rsidP="005675C2">
      <w:pPr>
        <w:rPr>
          <w:rFonts w:eastAsia="Times New Roman" w:cstheme="minorHAnsi"/>
          <w:color w:val="404040"/>
        </w:rPr>
      </w:pPr>
    </w:p>
    <w:p w14:paraId="5641D03E" w14:textId="77777777" w:rsidR="005675C2" w:rsidRPr="00824F9D" w:rsidRDefault="005675C2" w:rsidP="005675C2">
      <w:pPr>
        <w:rPr>
          <w:rFonts w:eastAsia="Times New Roman" w:cstheme="minorHAnsi"/>
          <w:b/>
          <w:bCs/>
          <w:color w:val="404040"/>
        </w:rPr>
      </w:pPr>
      <w:r w:rsidRPr="00824F9D">
        <w:rPr>
          <w:rFonts w:eastAsia="Times New Roman" w:cstheme="minorHAnsi"/>
          <w:b/>
          <w:bCs/>
          <w:color w:val="404040"/>
        </w:rPr>
        <w:t>Eligibility: This is a national grant.  Charter, Public, Private, Other (including homeschool, 501 (c)(3) organizations) are eligible, Higher Ed, Adult, 9-12, PreK, K-2, 6-8, 3-5.</w:t>
      </w:r>
    </w:p>
    <w:p w14:paraId="35DEAD05" w14:textId="77777777" w:rsidR="005675C2" w:rsidRDefault="005675C2" w:rsidP="005675C2">
      <w:pPr>
        <w:rPr>
          <w:rFonts w:eastAsia="Times New Roman" w:cstheme="minorHAnsi"/>
          <w:color w:val="404040"/>
        </w:rPr>
      </w:pPr>
    </w:p>
    <w:p w14:paraId="3AA07222" w14:textId="77777777" w:rsidR="005675C2" w:rsidRDefault="005675C2" w:rsidP="005675C2">
      <w:pPr>
        <w:rPr>
          <w:rFonts w:eastAsia="Times New Roman" w:cstheme="minorHAnsi"/>
          <w:color w:val="404040"/>
        </w:rPr>
      </w:pPr>
      <w:r w:rsidRPr="000866E5">
        <w:rPr>
          <w:rFonts w:eastAsia="Times New Roman" w:cstheme="minorHAnsi"/>
          <w:color w:val="404040"/>
        </w:rPr>
        <w:t xml:space="preserve">Awards vary. Full proposals are </w:t>
      </w:r>
      <w:proofErr w:type="gramStart"/>
      <w:r w:rsidRPr="000866E5">
        <w:rPr>
          <w:rFonts w:eastAsia="Times New Roman" w:cstheme="minorHAnsi"/>
          <w:color w:val="404040"/>
        </w:rPr>
        <w:t>due  August</w:t>
      </w:r>
      <w:proofErr w:type="gramEnd"/>
      <w:r w:rsidRPr="000866E5">
        <w:rPr>
          <w:rFonts w:eastAsia="Times New Roman" w:cstheme="minorHAnsi"/>
          <w:color w:val="404040"/>
        </w:rPr>
        <w:t xml:space="preserve"> 13, 2021.</w:t>
      </w:r>
    </w:p>
    <w:p w14:paraId="3847499C" w14:textId="77777777" w:rsidR="005675C2" w:rsidRPr="000866E5" w:rsidRDefault="005675C2" w:rsidP="005675C2">
      <w:pPr>
        <w:rPr>
          <w:rFonts w:eastAsia="Times New Roman" w:cstheme="minorHAnsi"/>
          <w:color w:val="404040"/>
        </w:rPr>
      </w:pPr>
      <w:r w:rsidRPr="000866E5">
        <w:rPr>
          <w:rFonts w:eastAsia="Times New Roman" w:cstheme="minorHAnsi"/>
          <w:color w:val="404040"/>
        </w:rPr>
        <w:lastRenderedPageBreak/>
        <w:t>Areas funded: Career and College Readiness, Career and Technical Ed (CTE), Engineering, Professional Development, STEM/STEAM/STREAM, Technology Education/Computer Science, Technology Equipment/Devices</w:t>
      </w:r>
    </w:p>
    <w:p w14:paraId="21DFB58C" w14:textId="77777777" w:rsidR="005675C2" w:rsidRPr="000866E5" w:rsidRDefault="005675C2" w:rsidP="005675C2">
      <w:pPr>
        <w:rPr>
          <w:rFonts w:eastAsia="Times New Roman" w:cstheme="minorHAnsi"/>
          <w:color w:val="404040"/>
          <w:highlight w:val="yellow"/>
        </w:rPr>
      </w:pPr>
    </w:p>
    <w:p w14:paraId="1E448777" w14:textId="77777777" w:rsidR="005675C2" w:rsidRPr="000866E5" w:rsidRDefault="005675C2" w:rsidP="005675C2">
      <w:pPr>
        <w:rPr>
          <w:rFonts w:eastAsia="Times New Roman" w:cstheme="minorHAnsi"/>
          <w:color w:val="404040"/>
        </w:rPr>
      </w:pPr>
    </w:p>
    <w:p w14:paraId="460D9E45" w14:textId="77777777" w:rsidR="005675C2" w:rsidRPr="000866E5" w:rsidRDefault="005675C2" w:rsidP="005675C2">
      <w:pPr>
        <w:rPr>
          <w:rFonts w:eastAsia="Times New Roman" w:cstheme="minorHAnsi"/>
          <w:color w:val="404040"/>
        </w:rPr>
      </w:pPr>
    </w:p>
    <w:p w14:paraId="137DA632" w14:textId="77777777" w:rsidR="005675C2" w:rsidRPr="000866E5" w:rsidRDefault="005675C2" w:rsidP="005675C2">
      <w:pPr>
        <w:rPr>
          <w:rFonts w:eastAsia="Times New Roman" w:cstheme="minorHAnsi"/>
          <w:color w:val="0070C0"/>
          <w:sz w:val="22"/>
          <w:szCs w:val="22"/>
        </w:rPr>
      </w:pPr>
    </w:p>
    <w:p w14:paraId="6D9CA27D" w14:textId="77777777" w:rsidR="005675C2" w:rsidRPr="003F04EC" w:rsidRDefault="005675C2" w:rsidP="003F04EC">
      <w:pPr>
        <w:spacing w:before="100" w:beforeAutospacing="1" w:after="100" w:afterAutospacing="1"/>
        <w:rPr>
          <w:rFonts w:eastAsia="Times New Roman" w:cstheme="minorHAnsi"/>
          <w:color w:val="484848"/>
        </w:rPr>
      </w:pPr>
    </w:p>
    <w:sectPr w:rsidR="005675C2" w:rsidRPr="003F04EC">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D585" w14:textId="77777777" w:rsidR="00DA799D" w:rsidRDefault="00DA799D" w:rsidP="003F04EC">
      <w:r>
        <w:separator/>
      </w:r>
    </w:p>
  </w:endnote>
  <w:endnote w:type="continuationSeparator" w:id="0">
    <w:p w14:paraId="1454A8CA" w14:textId="77777777" w:rsidR="00DA799D" w:rsidRDefault="00DA799D" w:rsidP="003F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8119436"/>
      <w:docPartObj>
        <w:docPartGallery w:val="Page Numbers (Bottom of Page)"/>
        <w:docPartUnique/>
      </w:docPartObj>
    </w:sdtPr>
    <w:sdtEndPr>
      <w:rPr>
        <w:rStyle w:val="PageNumber"/>
      </w:rPr>
    </w:sdtEndPr>
    <w:sdtContent>
      <w:p w14:paraId="7F2F5D9C" w14:textId="11848A79" w:rsidR="003F04EC" w:rsidRDefault="003F04EC" w:rsidP="00901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4138DE" w14:textId="77777777" w:rsidR="003F04EC" w:rsidRDefault="003F04EC" w:rsidP="003F04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766221"/>
      <w:docPartObj>
        <w:docPartGallery w:val="Page Numbers (Bottom of Page)"/>
        <w:docPartUnique/>
      </w:docPartObj>
    </w:sdtPr>
    <w:sdtEndPr>
      <w:rPr>
        <w:rStyle w:val="PageNumber"/>
      </w:rPr>
    </w:sdtEndPr>
    <w:sdtContent>
      <w:p w14:paraId="56518821" w14:textId="1DC92894" w:rsidR="003F04EC" w:rsidRDefault="003F04EC" w:rsidP="00901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EB275B" w14:textId="77777777" w:rsidR="003F04EC" w:rsidRDefault="003F04EC" w:rsidP="003F04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9241" w14:textId="77777777" w:rsidR="00DA799D" w:rsidRDefault="00DA799D" w:rsidP="003F04EC">
      <w:r>
        <w:separator/>
      </w:r>
    </w:p>
  </w:footnote>
  <w:footnote w:type="continuationSeparator" w:id="0">
    <w:p w14:paraId="036124EB" w14:textId="77777777" w:rsidR="00DA799D" w:rsidRDefault="00DA799D" w:rsidP="003F0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EC"/>
    <w:rsid w:val="001430BF"/>
    <w:rsid w:val="001E2450"/>
    <w:rsid w:val="0037012E"/>
    <w:rsid w:val="003F04EC"/>
    <w:rsid w:val="005675C2"/>
    <w:rsid w:val="0063082B"/>
    <w:rsid w:val="00851C0D"/>
    <w:rsid w:val="009420E7"/>
    <w:rsid w:val="00DA799D"/>
    <w:rsid w:val="00F0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4149"/>
  <w15:chartTrackingRefBased/>
  <w15:docId w15:val="{501C4520-A249-7945-9F1D-A3E7D719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04EC"/>
    <w:pPr>
      <w:tabs>
        <w:tab w:val="center" w:pos="4680"/>
        <w:tab w:val="right" w:pos="9360"/>
      </w:tabs>
    </w:pPr>
  </w:style>
  <w:style w:type="character" w:customStyle="1" w:styleId="FooterChar">
    <w:name w:val="Footer Char"/>
    <w:basedOn w:val="DefaultParagraphFont"/>
    <w:link w:val="Footer"/>
    <w:uiPriority w:val="99"/>
    <w:rsid w:val="003F04EC"/>
  </w:style>
  <w:style w:type="character" w:styleId="PageNumber">
    <w:name w:val="page number"/>
    <w:basedOn w:val="DefaultParagraphFont"/>
    <w:uiPriority w:val="99"/>
    <w:semiHidden/>
    <w:unhideWhenUsed/>
    <w:rsid w:val="003F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foundation.org/grants/organizations-seeking-grants" TargetMode="External"/><Relationship Id="rId13" Type="http://schemas.openxmlformats.org/officeDocument/2006/relationships/hyperlink" Target="https://www.obama.org/mbka/competition/"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oyota.com/usa/community/articles/community_grants_foundation.html" TargetMode="External"/><Relationship Id="rId12" Type="http://schemas.openxmlformats.org/officeDocument/2006/relationships/hyperlink" Target="https://www.costco.com/charitable-giving.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nsf.gov/funding/pgm_summ.jsp?pims_id=546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onda.com/community/applying-for-a-grant" TargetMode="External"/><Relationship Id="rId11" Type="http://schemas.openxmlformats.org/officeDocument/2006/relationships/hyperlink" Target="http://www.boeing.com/principles/community-engagement.page" TargetMode="External"/><Relationship Id="rId5" Type="http://schemas.openxmlformats.org/officeDocument/2006/relationships/endnotes" Target="endnotes.xml"/><Relationship Id="rId15" Type="http://schemas.openxmlformats.org/officeDocument/2006/relationships/hyperlink" Target="https://www.nsf.gov/funding/pgm_summ.jsp?pims_id=505082" TargetMode="External"/><Relationship Id="rId10" Type="http://schemas.openxmlformats.org/officeDocument/2006/relationships/hyperlink" Target="http://www.ppgcommunities.com/Our-Story/Education.asp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ony.com/en_us/SCA/social-responsibility/giving-guidelines.html" TargetMode="External"/><Relationship Id="rId14" Type="http://schemas.openxmlformats.org/officeDocument/2006/relationships/hyperlink" Target="https://www.nsf.gov/pubs/2019/nsf19506/nsf195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Teague</dc:creator>
  <cp:keywords/>
  <dc:description/>
  <cp:lastModifiedBy>Batten, Eric</cp:lastModifiedBy>
  <cp:revision>3</cp:revision>
  <dcterms:created xsi:type="dcterms:W3CDTF">2021-03-01T20:07:00Z</dcterms:created>
  <dcterms:modified xsi:type="dcterms:W3CDTF">2021-03-01T20:09:00Z</dcterms:modified>
</cp:coreProperties>
</file>