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FC5" w:rsidRPr="00F76BBF" w:rsidRDefault="00306B14">
      <w:pPr>
        <w:rPr>
          <w:rFonts w:cstheme="minorHAnsi"/>
          <w:b/>
        </w:rPr>
      </w:pPr>
      <w:r>
        <w:rPr>
          <w:rFonts w:cstheme="minorHAnsi"/>
          <w:b/>
        </w:rPr>
        <w:t>C</w:t>
      </w:r>
      <w:r w:rsidR="005C2FC5" w:rsidRPr="00F76BBF">
        <w:rPr>
          <w:rFonts w:cstheme="minorHAnsi"/>
          <w:b/>
        </w:rPr>
        <w:t>oncepts</w:t>
      </w:r>
    </w:p>
    <w:p w:rsidR="005C2FC5" w:rsidRDefault="00DC761D">
      <w:pPr>
        <w:rPr>
          <w:rFonts w:cstheme="minorHAnsi"/>
        </w:rPr>
      </w:pPr>
      <w:r>
        <w:rPr>
          <w:rFonts w:cstheme="minorHAnsi"/>
        </w:rPr>
        <w:t xml:space="preserve">The purpose of this document is to investigate several methods to estimate the area under a curve using known geometric figures.  A Riemann sum of the continuous function </w:t>
      </w:r>
      <w:r w:rsidR="00E04318" w:rsidRPr="00E579F7">
        <w:rPr>
          <w:noProof/>
          <w:position w:val="-6"/>
        </w:rPr>
        <w:object w:dxaOrig="16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pt;height:11pt;mso-width-percent:0;mso-height-percent:0;mso-width-percent:0;mso-height-percent:0" o:ole="">
            <v:imagedata r:id="rId7" o:title=""/>
          </v:shape>
          <o:OLEObject Type="Embed" ProgID="Equation.DSMT4" ShapeID="_x0000_i1025" DrawAspect="Content" ObjectID="_1727522134" r:id="rId8"/>
        </w:object>
      </w:r>
      <w:r w:rsidR="000F1824">
        <w:rPr>
          <w:rFonts w:cstheme="minorHAnsi"/>
        </w:rPr>
        <w:t xml:space="preserve"> over the interval </w:t>
      </w:r>
      <w:r w:rsidR="00E04318" w:rsidRPr="00E579F7">
        <w:rPr>
          <w:noProof/>
          <w:position w:val="-6"/>
        </w:rPr>
        <w:object w:dxaOrig="420" w:dyaOrig="220">
          <v:shape id="_x0000_i1026" type="#_x0000_t75" alt="" style="width:21pt;height:11pt;mso-width-percent:0;mso-height-percent:0;mso-width-percent:0;mso-height-percent:0" o:ole="">
            <v:imagedata r:id="rId9" o:title=""/>
          </v:shape>
          <o:OLEObject Type="Embed" ProgID="Equation.DSMT4" ShapeID="_x0000_i1026" DrawAspect="Content" ObjectID="_1727522135" r:id="rId10"/>
        </w:object>
      </w:r>
      <w:r w:rsidR="000F1824">
        <w:rPr>
          <w:rFonts w:cstheme="minorHAnsi"/>
        </w:rPr>
        <w:t xml:space="preserve"> with partition </w:t>
      </w:r>
      <w:r w:rsidR="00E04318" w:rsidRPr="00E579F7">
        <w:rPr>
          <w:noProof/>
          <w:position w:val="-6"/>
        </w:rPr>
        <w:object w:dxaOrig="1880" w:dyaOrig="240">
          <v:shape id="_x0000_i1027" type="#_x0000_t75" alt="" style="width:94pt;height:12pt;mso-width-percent:0;mso-height-percent:0;mso-width-percent:0;mso-height-percent:0" o:ole="">
            <v:imagedata r:id="rId11" o:title=""/>
          </v:shape>
          <o:OLEObject Type="Embed" ProgID="Equation.DSMT4" ShapeID="_x0000_i1027" DrawAspect="Content" ObjectID="_1727522136" r:id="rId12"/>
        </w:object>
      </w:r>
      <w:r w:rsidR="000F1824">
        <w:rPr>
          <w:rFonts w:cstheme="minorHAnsi"/>
        </w:rPr>
        <w:t xml:space="preserve"> is </w:t>
      </w:r>
    </w:p>
    <w:p w:rsidR="000F1824" w:rsidRDefault="00E04318" w:rsidP="000F1824">
      <w:pPr>
        <w:jc w:val="center"/>
        <w:rPr>
          <w:rFonts w:cstheme="minorHAnsi"/>
        </w:rPr>
      </w:pPr>
      <w:r w:rsidRPr="00E579F7">
        <w:rPr>
          <w:noProof/>
          <w:position w:val="-24"/>
        </w:rPr>
        <w:object w:dxaOrig="3040" w:dyaOrig="620">
          <v:shape id="_x0000_i1028" type="#_x0000_t75" alt="" style="width:152pt;height:31pt;mso-width-percent:0;mso-height-percent:0;mso-width-percent:0;mso-height-percent:0" o:ole="">
            <v:imagedata r:id="rId13" o:title=""/>
          </v:shape>
          <o:OLEObject Type="Embed" ProgID="Equation.DSMT4" ShapeID="_x0000_i1028" DrawAspect="Content" ObjectID="_1727522137" r:id="rId14"/>
        </w:object>
      </w:r>
    </w:p>
    <w:p w:rsidR="000F1824" w:rsidRDefault="000F1824" w:rsidP="000F1824">
      <w:pPr>
        <w:rPr>
          <w:rFonts w:cstheme="minorHAnsi"/>
        </w:rPr>
      </w:pPr>
      <w:r>
        <w:rPr>
          <w:rFonts w:cstheme="minorHAnsi"/>
        </w:rPr>
        <w:t xml:space="preserve">where </w:t>
      </w:r>
      <w:r w:rsidR="00E04318" w:rsidRPr="00E579F7">
        <w:rPr>
          <w:noProof/>
          <w:position w:val="-6"/>
        </w:rPr>
        <w:object w:dxaOrig="1300" w:dyaOrig="240">
          <v:shape id="_x0000_i1029" type="#_x0000_t75" alt="" style="width:65pt;height:12pt;mso-width-percent:0;mso-height-percent:0;mso-width-percent:0;mso-height-percent:0" o:ole="">
            <v:imagedata r:id="rId15" o:title=""/>
          </v:shape>
          <o:OLEObject Type="Embed" ProgID="Equation.DSMT4" ShapeID="_x0000_i1029" DrawAspect="Content" ObjectID="_1727522138" r:id="rId16"/>
        </w:object>
      </w:r>
      <w:r>
        <w:rPr>
          <w:rFonts w:cstheme="minorHAnsi"/>
        </w:rPr>
        <w:t xml:space="preserve"> is the length of the </w:t>
      </w:r>
      <w:r w:rsidR="00E04318" w:rsidRPr="00E579F7">
        <w:rPr>
          <w:noProof/>
          <w:position w:val="-2"/>
        </w:rPr>
        <w:object w:dxaOrig="60" w:dyaOrig="160">
          <v:shape id="_x0000_i1030" type="#_x0000_t75" alt="" style="width:3pt;height:8pt;mso-width-percent:0;mso-height-percent:0;mso-width-percent:0;mso-height-percent:0" o:ole="">
            <v:imagedata r:id="rId17" o:title=""/>
          </v:shape>
          <o:OLEObject Type="Embed" ProgID="Equation.DSMT4" ShapeID="_x0000_i1030" DrawAspect="Content" ObjectID="_1727522139" r:id="rId18"/>
        </w:object>
      </w:r>
      <w:proofErr w:type="spellStart"/>
      <w:r>
        <w:rPr>
          <w:rFonts w:cstheme="minorHAnsi"/>
        </w:rPr>
        <w:t>th</w:t>
      </w:r>
      <w:proofErr w:type="spellEnd"/>
      <w:r>
        <w:rPr>
          <w:rFonts w:cstheme="minorHAnsi"/>
        </w:rPr>
        <w:t xml:space="preserve"> subinterval and </w:t>
      </w:r>
      <w:r w:rsidR="00E04318" w:rsidRPr="00E579F7">
        <w:rPr>
          <w:noProof/>
          <w:position w:val="-6"/>
        </w:rPr>
        <w:object w:dxaOrig="1160" w:dyaOrig="300">
          <v:shape id="_x0000_i1031" type="#_x0000_t75" alt="" style="width:58pt;height:15pt;mso-width-percent:0;mso-height-percent:0;mso-width-percent:0;mso-height-percent:0" o:ole="">
            <v:imagedata r:id="rId19" o:title=""/>
          </v:shape>
          <o:OLEObject Type="Embed" ProgID="Equation.DSMT4" ShapeID="_x0000_i1031" DrawAspect="Content" ObjectID="_1727522140" r:id="rId20"/>
        </w:object>
      </w:r>
      <w:r>
        <w:rPr>
          <w:rFonts w:cstheme="minorHAnsi"/>
        </w:rPr>
        <w:t xml:space="preserve"> is an arbitrary value in the </w:t>
      </w:r>
      <w:r w:rsidR="00E04318" w:rsidRPr="00E579F7">
        <w:rPr>
          <w:noProof/>
          <w:position w:val="-2"/>
        </w:rPr>
        <w:object w:dxaOrig="60" w:dyaOrig="160">
          <v:shape id="_x0000_i1032" type="#_x0000_t75" alt="" style="width:3pt;height:8pt;mso-width-percent:0;mso-height-percent:0;mso-width-percent:0;mso-height-percent:0" o:ole="">
            <v:imagedata r:id="rId21" o:title=""/>
          </v:shape>
          <o:OLEObject Type="Embed" ProgID="Equation.DSMT4" ShapeID="_x0000_i1032" DrawAspect="Content" ObjectID="_1727522141" r:id="rId22"/>
        </w:object>
      </w:r>
      <w:proofErr w:type="spellStart"/>
      <w:r>
        <w:rPr>
          <w:rFonts w:cstheme="minorHAnsi"/>
        </w:rPr>
        <w:t>th</w:t>
      </w:r>
      <w:proofErr w:type="spellEnd"/>
      <w:r>
        <w:rPr>
          <w:rFonts w:cstheme="minorHAnsi"/>
        </w:rPr>
        <w:t xml:space="preserve"> subinterval.  For a given partition </w:t>
      </w:r>
      <w:r w:rsidR="00E04318" w:rsidRPr="00E579F7">
        <w:rPr>
          <w:noProof/>
        </w:rPr>
        <w:object w:dxaOrig="139" w:dyaOrig="160">
          <v:shape id="_x0000_i1033" type="#_x0000_t75" alt="" style="width:7pt;height:8pt;mso-width-percent:0;mso-height-percent:0;mso-width-percent:0;mso-height-percent:0" o:ole="">
            <v:imagedata r:id="rId23" o:title=""/>
          </v:shape>
          <o:OLEObject Type="Embed" ProgID="Equation.DSMT4" ShapeID="_x0000_i1033" DrawAspect="Content" ObjectID="_1727522142" r:id="rId24"/>
        </w:object>
      </w:r>
      <w:r>
        <w:rPr>
          <w:rFonts w:cstheme="minorHAnsi"/>
        </w:rPr>
        <w:t xml:space="preserve">, the way in which we select the values </w:t>
      </w:r>
      <w:r w:rsidR="00E04318" w:rsidRPr="00E579F7">
        <w:rPr>
          <w:noProof/>
          <w:position w:val="-6"/>
        </w:rPr>
        <w:object w:dxaOrig="180" w:dyaOrig="300">
          <v:shape id="_x0000_i1034" type="#_x0000_t75" alt="" style="width:9pt;height:15pt;mso-width-percent:0;mso-height-percent:0;mso-width-percent:0;mso-height-percent:0" o:ole="">
            <v:imagedata r:id="rId25" o:title=""/>
          </v:shape>
          <o:OLEObject Type="Embed" ProgID="Equation.DSMT4" ShapeID="_x0000_i1034" DrawAspect="Content" ObjectID="_1727522143" r:id="rId26"/>
        </w:object>
      </w:r>
      <w:r>
        <w:rPr>
          <w:rFonts w:cstheme="minorHAnsi"/>
        </w:rPr>
        <w:t xml:space="preserve"> determines the Riemann sum.</w:t>
      </w:r>
    </w:p>
    <w:p w:rsidR="000F1824" w:rsidRDefault="000F1824" w:rsidP="000F1824">
      <w:pPr>
        <w:rPr>
          <w:rFonts w:cstheme="minorHAnsi"/>
        </w:rPr>
      </w:pPr>
    </w:p>
    <w:p w:rsidR="000F1824" w:rsidRDefault="00DA27E8" w:rsidP="000F1824">
      <w:pPr>
        <w:rPr>
          <w:rFonts w:cstheme="minorHAnsi"/>
        </w:rPr>
      </w:pPr>
      <w:r>
        <w:rPr>
          <w:rFonts w:cstheme="minorHAnsi"/>
        </w:rPr>
        <w:t xml:space="preserve">Let </w:t>
      </w:r>
      <w:r w:rsidR="00E04318" w:rsidRPr="00E579F7">
        <w:rPr>
          <w:noProof/>
          <w:position w:val="-2"/>
        </w:rPr>
        <w:object w:dxaOrig="120" w:dyaOrig="180">
          <v:shape id="_x0000_i1035" type="#_x0000_t75" alt="" style="width:6pt;height:9pt;mso-width-percent:0;mso-height-percent:0;mso-width-percent:0;mso-height-percent:0" o:ole="">
            <v:imagedata r:id="rId27" o:title=""/>
          </v:shape>
          <o:OLEObject Type="Embed" ProgID="Equation.DSMT4" ShapeID="_x0000_i1035" DrawAspect="Content" ObjectID="_1727522144" r:id="rId28"/>
        </w:object>
      </w:r>
      <w:r w:rsidR="001A2DD0">
        <w:rPr>
          <w:rFonts w:cstheme="minorHAnsi"/>
        </w:rPr>
        <w:t xml:space="preserve"> be the region in the plane bounded above by the graph of a nonnegative, continuous function </w:t>
      </w:r>
      <w:r w:rsidR="00E04318" w:rsidRPr="00E579F7">
        <w:rPr>
          <w:noProof/>
          <w:position w:val="-6"/>
        </w:rPr>
        <w:object w:dxaOrig="820" w:dyaOrig="220">
          <v:shape id="_x0000_i1036" type="#_x0000_t75" alt="" style="width:41pt;height:11pt;mso-width-percent:0;mso-height-percent:0;mso-width-percent:0;mso-height-percent:0" o:ole="">
            <v:imagedata r:id="rId29" o:title=""/>
          </v:shape>
          <o:OLEObject Type="Embed" ProgID="Equation.DSMT4" ShapeID="_x0000_i1036" DrawAspect="Content" ObjectID="_1727522145" r:id="rId30"/>
        </w:object>
      </w:r>
      <w:r w:rsidR="001A2DD0">
        <w:rPr>
          <w:rFonts w:cstheme="minorHAnsi"/>
        </w:rPr>
        <w:t xml:space="preserve">, below by the </w:t>
      </w:r>
      <w:r w:rsidR="00E04318" w:rsidRPr="00E579F7">
        <w:rPr>
          <w:noProof/>
          <w:position w:val="-2"/>
        </w:rPr>
        <w:object w:dxaOrig="100" w:dyaOrig="120">
          <v:shape id="_x0000_i1037" type="#_x0000_t75" alt="" style="width:5pt;height:6pt;mso-width-percent:0;mso-height-percent:0;mso-width-percent:0;mso-height-percent:0" o:ole="">
            <v:imagedata r:id="rId31" o:title=""/>
          </v:shape>
          <o:OLEObject Type="Embed" ProgID="Equation.DSMT4" ShapeID="_x0000_i1037" DrawAspect="Content" ObjectID="_1727522146" r:id="rId32"/>
        </w:object>
      </w:r>
      <w:r w:rsidR="001A2DD0">
        <w:rPr>
          <w:rFonts w:cstheme="minorHAnsi"/>
        </w:rPr>
        <w:t xml:space="preserve">-axis, on the left by the line </w:t>
      </w:r>
      <w:r w:rsidR="00E04318" w:rsidRPr="00E579F7">
        <w:rPr>
          <w:noProof/>
          <w:position w:val="-2"/>
        </w:rPr>
        <w:object w:dxaOrig="499" w:dyaOrig="120">
          <v:shape id="_x0000_i1038" type="#_x0000_t75" alt="" style="width:25pt;height:6pt;mso-width-percent:0;mso-height-percent:0;mso-width-percent:0;mso-height-percent:0" o:ole="">
            <v:imagedata r:id="rId33" o:title=""/>
          </v:shape>
          <o:OLEObject Type="Embed" ProgID="Equation.DSMT4" ShapeID="_x0000_i1038" DrawAspect="Content" ObjectID="_1727522147" r:id="rId34"/>
        </w:object>
      </w:r>
      <w:r w:rsidR="001A2DD0">
        <w:rPr>
          <w:rFonts w:cstheme="minorHAnsi"/>
        </w:rPr>
        <w:t xml:space="preserve">, and on the right by the line </w:t>
      </w:r>
      <w:r w:rsidR="00E04318" w:rsidRPr="00E579F7">
        <w:rPr>
          <w:noProof/>
          <w:position w:val="-2"/>
        </w:rPr>
        <w:object w:dxaOrig="499" w:dyaOrig="180">
          <v:shape id="_x0000_i1039" type="#_x0000_t75" alt="" style="width:25pt;height:9pt;mso-width-percent:0;mso-height-percent:0;mso-width-percent:0;mso-height-percent:0" o:ole="">
            <v:imagedata r:id="rId35" o:title=""/>
          </v:shape>
          <o:OLEObject Type="Embed" ProgID="Equation.DSMT4" ShapeID="_x0000_i1039" DrawAspect="Content" ObjectID="_1727522148" r:id="rId36"/>
        </w:object>
      </w:r>
      <w:r w:rsidR="001A2DD0">
        <w:rPr>
          <w:rFonts w:cstheme="minorHAnsi"/>
        </w:rPr>
        <w:t xml:space="preserve">.  The following Riemann sums can be used to estimate the area of the region </w:t>
      </w:r>
      <w:r w:rsidR="00E04318" w:rsidRPr="00E579F7">
        <w:rPr>
          <w:noProof/>
          <w:position w:val="-2"/>
        </w:rPr>
        <w:object w:dxaOrig="120" w:dyaOrig="180">
          <v:shape id="_x0000_i1040" type="#_x0000_t75" alt="" style="width:6pt;height:9pt;mso-width-percent:0;mso-height-percent:0;mso-width-percent:0;mso-height-percent:0" o:ole="">
            <v:imagedata r:id="rId37" o:title=""/>
          </v:shape>
          <o:OLEObject Type="Embed" ProgID="Equation.DSMT4" ShapeID="_x0000_i1040" DrawAspect="Content" ObjectID="_1727522149" r:id="rId38"/>
        </w:object>
      </w:r>
      <w:r w:rsidR="001A2DD0">
        <w:rPr>
          <w:rFonts w:cstheme="minorHAnsi"/>
        </w:rPr>
        <w:t>.</w:t>
      </w:r>
    </w:p>
    <w:p w:rsidR="001A2DD0" w:rsidRDefault="001A2DD0" w:rsidP="000F1824">
      <w:pPr>
        <w:rPr>
          <w:rFonts w:cstheme="minorHAnsi"/>
        </w:rPr>
      </w:pPr>
    </w:p>
    <w:p w:rsidR="001A2DD0" w:rsidRPr="001A2DD0" w:rsidRDefault="001A2DD0" w:rsidP="000F1824">
      <w:pPr>
        <w:rPr>
          <w:rFonts w:cstheme="minorHAnsi"/>
          <w:b/>
        </w:rPr>
      </w:pPr>
      <w:r w:rsidRPr="001A2DD0">
        <w:rPr>
          <w:rFonts w:cstheme="minorHAnsi"/>
          <w:b/>
        </w:rPr>
        <w:t>Left Riemann Sum</w:t>
      </w:r>
    </w:p>
    <w:p w:rsidR="001A2DD0" w:rsidRDefault="001A2DD0" w:rsidP="000F1824">
      <w:pPr>
        <w:rPr>
          <w:rFonts w:cstheme="minorHAnsi"/>
        </w:rPr>
      </w:pPr>
      <w:r>
        <w:rPr>
          <w:rFonts w:cstheme="minorHAnsi"/>
        </w:rPr>
        <w:t xml:space="preserve">Let </w:t>
      </w:r>
      <w:r w:rsidR="00E04318" w:rsidRPr="00E579F7">
        <w:rPr>
          <w:noProof/>
          <w:position w:val="-6"/>
        </w:rPr>
        <w:object w:dxaOrig="180" w:dyaOrig="300">
          <v:shape id="_x0000_i1041" type="#_x0000_t75" alt="" style="width:9pt;height:15pt;mso-width-percent:0;mso-height-percent:0;mso-width-percent:0;mso-height-percent:0" o:ole="">
            <v:imagedata r:id="rId39" o:title=""/>
          </v:shape>
          <o:OLEObject Type="Embed" ProgID="Equation.DSMT4" ShapeID="_x0000_i1041" DrawAspect="Content" ObjectID="_1727522150" r:id="rId40"/>
        </w:object>
      </w:r>
      <w:r>
        <w:rPr>
          <w:rFonts w:cstheme="minorHAnsi"/>
        </w:rPr>
        <w:t xml:space="preserve"> be the left endpoint of each subinterval, </w:t>
      </w:r>
      <w:r w:rsidR="00E04318" w:rsidRPr="00E579F7">
        <w:rPr>
          <w:noProof/>
          <w:position w:val="-6"/>
        </w:rPr>
        <w:object w:dxaOrig="700" w:dyaOrig="300">
          <v:shape id="_x0000_i1042" type="#_x0000_t75" alt="" style="width:35pt;height:15pt;mso-width-percent:0;mso-height-percent:0;mso-width-percent:0;mso-height-percent:0" o:ole="">
            <v:imagedata r:id="rId41" o:title=""/>
          </v:shape>
          <o:OLEObject Type="Embed" ProgID="Equation.DSMT4" ShapeID="_x0000_i1042" DrawAspect="Content" ObjectID="_1727522151" r:id="rId42"/>
        </w:object>
      </w:r>
      <w:r>
        <w:rPr>
          <w:rFonts w:cstheme="minorHAnsi"/>
        </w:rPr>
        <w:t xml:space="preserve"> for all </w:t>
      </w:r>
      <w:r w:rsidR="00E04318" w:rsidRPr="00E579F7">
        <w:rPr>
          <w:noProof/>
          <w:position w:val="-2"/>
        </w:rPr>
        <w:object w:dxaOrig="60" w:dyaOrig="160">
          <v:shape id="_x0000_i1043" type="#_x0000_t75" alt="" style="width:3pt;height:8pt;mso-width-percent:0;mso-height-percent:0;mso-width-percent:0;mso-height-percent:0" o:ole="">
            <v:imagedata r:id="rId43" o:title=""/>
          </v:shape>
          <o:OLEObject Type="Embed" ProgID="Equation.DSMT4" ShapeID="_x0000_i1043" DrawAspect="Content" ObjectID="_1727522152" r:id="rId44"/>
        </w:object>
      </w:r>
      <w:r>
        <w:rPr>
          <w:rFonts w:cstheme="minorHAnsi"/>
        </w:rPr>
        <w:t>.  Then</w:t>
      </w:r>
    </w:p>
    <w:p w:rsidR="001A2DD0" w:rsidRDefault="00E04318" w:rsidP="000F1824">
      <w:pPr>
        <w:rPr>
          <w:rFonts w:cstheme="minorHAnsi"/>
        </w:rPr>
      </w:pPr>
      <w:r w:rsidRPr="00E579F7">
        <w:rPr>
          <w:noProof/>
          <w:position w:val="-24"/>
        </w:rPr>
        <w:object w:dxaOrig="1700" w:dyaOrig="620">
          <v:shape id="_x0000_i1044" type="#_x0000_t75" alt="" style="width:85pt;height:31pt;mso-width-percent:0;mso-height-percent:0;mso-width-percent:0;mso-height-percent:0" o:ole="">
            <v:imagedata r:id="rId45" o:title=""/>
          </v:shape>
          <o:OLEObject Type="Embed" ProgID="Equation.DSMT4" ShapeID="_x0000_i1044" DrawAspect="Content" ObjectID="_1727522153" r:id="rId46"/>
        </w:object>
      </w:r>
    </w:p>
    <w:p w:rsidR="001A2DD0" w:rsidRDefault="001A2DD0" w:rsidP="000F1824">
      <w:pPr>
        <w:rPr>
          <w:rFonts w:cstheme="minorHAnsi"/>
        </w:rPr>
      </w:pPr>
    </w:p>
    <w:p w:rsidR="001A2DD0" w:rsidRPr="001A2DD0" w:rsidRDefault="001A2DD0" w:rsidP="000F1824">
      <w:pPr>
        <w:rPr>
          <w:rFonts w:cstheme="minorHAnsi"/>
          <w:b/>
        </w:rPr>
      </w:pPr>
      <w:r w:rsidRPr="001A2DD0">
        <w:rPr>
          <w:rFonts w:cstheme="minorHAnsi"/>
          <w:b/>
        </w:rPr>
        <w:t>Right Riemann Sum</w:t>
      </w:r>
    </w:p>
    <w:p w:rsidR="001A2DD0" w:rsidRDefault="001A2DD0" w:rsidP="001A2DD0">
      <w:pPr>
        <w:rPr>
          <w:rFonts w:cstheme="minorHAnsi"/>
        </w:rPr>
      </w:pPr>
      <w:r>
        <w:rPr>
          <w:rFonts w:cstheme="minorHAnsi"/>
        </w:rPr>
        <w:t xml:space="preserve">Let </w:t>
      </w:r>
      <w:r w:rsidR="00E04318" w:rsidRPr="00E579F7">
        <w:rPr>
          <w:noProof/>
          <w:position w:val="-6"/>
        </w:rPr>
        <w:object w:dxaOrig="180" w:dyaOrig="300">
          <v:shape id="_x0000_i1045" type="#_x0000_t75" alt="" style="width:9pt;height:15pt;mso-width-percent:0;mso-height-percent:0;mso-width-percent:0;mso-height-percent:0" o:ole="">
            <v:imagedata r:id="rId47" o:title=""/>
          </v:shape>
          <o:OLEObject Type="Embed" ProgID="Equation.DSMT4" ShapeID="_x0000_i1045" DrawAspect="Content" ObjectID="_1727522154" r:id="rId48"/>
        </w:object>
      </w:r>
      <w:r>
        <w:rPr>
          <w:rFonts w:cstheme="minorHAnsi"/>
        </w:rPr>
        <w:t xml:space="preserve"> be the right endpoint of each subinterval, </w:t>
      </w:r>
      <w:r w:rsidR="00E04318" w:rsidRPr="00E579F7">
        <w:rPr>
          <w:noProof/>
          <w:position w:val="-6"/>
        </w:rPr>
        <w:object w:dxaOrig="540" w:dyaOrig="300">
          <v:shape id="_x0000_i1046" type="#_x0000_t75" alt="" style="width:27pt;height:15pt;mso-width-percent:0;mso-height-percent:0;mso-width-percent:0;mso-height-percent:0" o:ole="">
            <v:imagedata r:id="rId49" o:title=""/>
          </v:shape>
          <o:OLEObject Type="Embed" ProgID="Equation.DSMT4" ShapeID="_x0000_i1046" DrawAspect="Content" ObjectID="_1727522155" r:id="rId50"/>
        </w:object>
      </w:r>
      <w:r>
        <w:rPr>
          <w:rFonts w:cstheme="minorHAnsi"/>
        </w:rPr>
        <w:t xml:space="preserve"> for all </w:t>
      </w:r>
      <w:r w:rsidR="00E04318" w:rsidRPr="00E579F7">
        <w:rPr>
          <w:noProof/>
          <w:position w:val="-2"/>
        </w:rPr>
        <w:object w:dxaOrig="60" w:dyaOrig="160">
          <v:shape id="_x0000_i1047" type="#_x0000_t75" alt="" style="width:3pt;height:8pt;mso-width-percent:0;mso-height-percent:0;mso-width-percent:0;mso-height-percent:0" o:ole="">
            <v:imagedata r:id="rId51" o:title=""/>
          </v:shape>
          <o:OLEObject Type="Embed" ProgID="Equation.DSMT4" ShapeID="_x0000_i1047" DrawAspect="Content" ObjectID="_1727522156" r:id="rId52"/>
        </w:object>
      </w:r>
      <w:r>
        <w:rPr>
          <w:rFonts w:cstheme="minorHAnsi"/>
        </w:rPr>
        <w:t>.  Then</w:t>
      </w:r>
    </w:p>
    <w:p w:rsidR="001A2DD0" w:rsidRDefault="00E04318" w:rsidP="001A2DD0">
      <w:pPr>
        <w:rPr>
          <w:rFonts w:cstheme="minorHAnsi"/>
        </w:rPr>
      </w:pPr>
      <w:r w:rsidRPr="00E579F7">
        <w:rPr>
          <w:noProof/>
          <w:position w:val="-24"/>
        </w:rPr>
        <w:object w:dxaOrig="1560" w:dyaOrig="620">
          <v:shape id="_x0000_i1048" type="#_x0000_t75" alt="" style="width:78pt;height:31pt;mso-width-percent:0;mso-height-percent:0;mso-width-percent:0;mso-height-percent:0" o:ole="">
            <v:imagedata r:id="rId53" o:title=""/>
          </v:shape>
          <o:OLEObject Type="Embed" ProgID="Equation.DSMT4" ShapeID="_x0000_i1048" DrawAspect="Content" ObjectID="_1727522157" r:id="rId54"/>
        </w:object>
      </w:r>
    </w:p>
    <w:p w:rsidR="001A2DD0" w:rsidRDefault="001A2DD0" w:rsidP="001A2DD0">
      <w:pPr>
        <w:rPr>
          <w:rFonts w:cstheme="minorHAnsi"/>
        </w:rPr>
      </w:pPr>
    </w:p>
    <w:p w:rsidR="001A2DD0" w:rsidRPr="001A2DD0" w:rsidRDefault="001A2DD0" w:rsidP="001A2DD0">
      <w:pPr>
        <w:rPr>
          <w:rFonts w:cstheme="minorHAnsi"/>
          <w:b/>
        </w:rPr>
      </w:pPr>
      <w:r w:rsidRPr="001A2DD0">
        <w:rPr>
          <w:rFonts w:cstheme="minorHAnsi"/>
          <w:b/>
        </w:rPr>
        <w:t>Midpoint Riemann Sum</w:t>
      </w:r>
    </w:p>
    <w:p w:rsidR="001A2DD0" w:rsidRDefault="001A2DD0" w:rsidP="001A2DD0">
      <w:pPr>
        <w:rPr>
          <w:rFonts w:cstheme="minorHAnsi"/>
        </w:rPr>
      </w:pPr>
      <w:r>
        <w:rPr>
          <w:rFonts w:cstheme="minorHAnsi"/>
        </w:rPr>
        <w:t xml:space="preserve">Let </w:t>
      </w:r>
      <w:r w:rsidR="00E04318" w:rsidRPr="00E579F7">
        <w:rPr>
          <w:noProof/>
          <w:position w:val="-6"/>
        </w:rPr>
        <w:object w:dxaOrig="180" w:dyaOrig="300">
          <v:shape id="_x0000_i1049" type="#_x0000_t75" alt="" style="width:9pt;height:15pt;mso-width-percent:0;mso-height-percent:0;mso-width-percent:0;mso-height-percent:0" o:ole="">
            <v:imagedata r:id="rId55" o:title=""/>
          </v:shape>
          <o:OLEObject Type="Embed" ProgID="Equation.DSMT4" ShapeID="_x0000_i1049" DrawAspect="Content" ObjectID="_1727522158" r:id="rId56"/>
        </w:object>
      </w:r>
      <w:r>
        <w:rPr>
          <w:rFonts w:cstheme="minorHAnsi"/>
        </w:rPr>
        <w:t xml:space="preserve"> be the midpoint of each subinterval, </w:t>
      </w:r>
      <w:r w:rsidR="00E04318" w:rsidRPr="00E579F7">
        <w:rPr>
          <w:noProof/>
          <w:position w:val="-14"/>
        </w:rPr>
        <w:object w:dxaOrig="1920" w:dyaOrig="440">
          <v:shape id="_x0000_i1050" type="#_x0000_t75" alt="" style="width:96pt;height:22pt;mso-width-percent:0;mso-height-percent:0;mso-width-percent:0;mso-height-percent:0" o:ole="">
            <v:imagedata r:id="rId57" o:title=""/>
          </v:shape>
          <o:OLEObject Type="Embed" ProgID="Equation.DSMT4" ShapeID="_x0000_i1050" DrawAspect="Content" ObjectID="_1727522159" r:id="rId58"/>
        </w:object>
      </w:r>
      <w:r>
        <w:rPr>
          <w:rFonts w:cstheme="minorHAnsi"/>
        </w:rPr>
        <w:t xml:space="preserve"> for all </w:t>
      </w:r>
      <w:r w:rsidR="00E04318" w:rsidRPr="00E579F7">
        <w:rPr>
          <w:noProof/>
          <w:position w:val="-2"/>
        </w:rPr>
        <w:object w:dxaOrig="60" w:dyaOrig="160">
          <v:shape id="_x0000_i1051" type="#_x0000_t75" alt="" style="width:3pt;height:8pt;mso-width-percent:0;mso-height-percent:0;mso-width-percent:0;mso-height-percent:0" o:ole="">
            <v:imagedata r:id="rId59" o:title=""/>
          </v:shape>
          <o:OLEObject Type="Embed" ProgID="Equation.DSMT4" ShapeID="_x0000_i1051" DrawAspect="Content" ObjectID="_1727522160" r:id="rId60"/>
        </w:object>
      </w:r>
      <w:r>
        <w:rPr>
          <w:rFonts w:cstheme="minorHAnsi"/>
        </w:rPr>
        <w:t>.  Then</w:t>
      </w:r>
    </w:p>
    <w:p w:rsidR="001A2DD0" w:rsidRDefault="00E04318" w:rsidP="000F1824">
      <w:pPr>
        <w:rPr>
          <w:rFonts w:cstheme="minorHAnsi"/>
        </w:rPr>
      </w:pPr>
      <w:r w:rsidRPr="00E579F7">
        <w:rPr>
          <w:noProof/>
          <w:position w:val="-24"/>
        </w:rPr>
        <w:object w:dxaOrig="1640" w:dyaOrig="620">
          <v:shape id="_x0000_i1052" type="#_x0000_t75" alt="" style="width:82pt;height:31pt;mso-width-percent:0;mso-height-percent:0;mso-width-percent:0;mso-height-percent:0" o:ole="">
            <v:imagedata r:id="rId61" o:title=""/>
          </v:shape>
          <o:OLEObject Type="Embed" ProgID="Equation.DSMT4" ShapeID="_x0000_i1052" DrawAspect="Content" ObjectID="_1727522161" r:id="rId62"/>
        </w:object>
      </w:r>
    </w:p>
    <w:p w:rsidR="001A2DD0" w:rsidRDefault="001A2DD0" w:rsidP="000F1824">
      <w:pPr>
        <w:rPr>
          <w:rFonts w:cstheme="minorHAnsi"/>
        </w:rPr>
      </w:pPr>
    </w:p>
    <w:p w:rsidR="001A2DD0" w:rsidRDefault="00BA7192" w:rsidP="000F1824">
      <w:pPr>
        <w:rPr>
          <w:rFonts w:cstheme="minorHAnsi"/>
        </w:rPr>
      </w:pPr>
      <w:r>
        <w:rPr>
          <w:rFonts w:cstheme="minorHAnsi"/>
        </w:rPr>
        <w:t xml:space="preserve">We can also use trapezoids to estimate the area of the region </w:t>
      </w:r>
      <w:r w:rsidR="00E04318" w:rsidRPr="00E579F7">
        <w:rPr>
          <w:noProof/>
          <w:position w:val="-2"/>
        </w:rPr>
        <w:object w:dxaOrig="120" w:dyaOrig="180">
          <v:shape id="_x0000_i1053" type="#_x0000_t75" alt="" style="width:6pt;height:9pt;mso-width-percent:0;mso-height-percent:0;mso-width-percent:0;mso-height-percent:0" o:ole="">
            <v:imagedata r:id="rId63" o:title=""/>
          </v:shape>
          <o:OLEObject Type="Embed" ProgID="Equation.DSMT4" ShapeID="_x0000_i1053" DrawAspect="Content" ObjectID="_1727522162" r:id="rId64"/>
        </w:object>
      </w:r>
      <w:r>
        <w:rPr>
          <w:rFonts w:cstheme="minorHAnsi"/>
        </w:rPr>
        <w:t>.</w:t>
      </w:r>
    </w:p>
    <w:p w:rsidR="00BA7192" w:rsidRDefault="00BA7192" w:rsidP="000F1824">
      <w:pPr>
        <w:rPr>
          <w:rFonts w:cstheme="minorHAnsi"/>
        </w:rPr>
      </w:pPr>
    </w:p>
    <w:p w:rsidR="00BA7192" w:rsidRPr="00BA7192" w:rsidRDefault="00BA7192" w:rsidP="000F1824">
      <w:pPr>
        <w:rPr>
          <w:rFonts w:cstheme="minorHAnsi"/>
          <w:b/>
        </w:rPr>
      </w:pPr>
      <w:r w:rsidRPr="00BA7192">
        <w:rPr>
          <w:rFonts w:cstheme="minorHAnsi"/>
          <w:b/>
        </w:rPr>
        <w:t>Trapezoidal Sum</w:t>
      </w:r>
    </w:p>
    <w:p w:rsidR="00BA7192" w:rsidRDefault="00E04318" w:rsidP="000F1824">
      <w:pPr>
        <w:rPr>
          <w:rFonts w:cstheme="minorHAnsi"/>
        </w:rPr>
      </w:pPr>
      <w:r w:rsidRPr="00E579F7">
        <w:rPr>
          <w:noProof/>
          <w:position w:val="-24"/>
        </w:rPr>
        <w:object w:dxaOrig="2640" w:dyaOrig="620">
          <v:shape id="_x0000_i1054" type="#_x0000_t75" alt="" style="width:132pt;height:31pt;mso-width-percent:0;mso-height-percent:0;mso-width-percent:0;mso-height-percent:0" o:ole="">
            <v:imagedata r:id="rId65" o:title=""/>
          </v:shape>
          <o:OLEObject Type="Embed" ProgID="Equation.DSMT4" ShapeID="_x0000_i1054" DrawAspect="Content" ObjectID="_1727522163" r:id="rId66"/>
        </w:object>
      </w:r>
    </w:p>
    <w:p w:rsidR="00BA7192" w:rsidRDefault="00BA7192" w:rsidP="000F1824">
      <w:pPr>
        <w:rPr>
          <w:rFonts w:cstheme="minorHAnsi"/>
        </w:rPr>
      </w:pPr>
    </w:p>
    <w:p w:rsidR="00BA7192" w:rsidRDefault="00BA7192" w:rsidP="000F1824">
      <w:pPr>
        <w:rPr>
          <w:rFonts w:cstheme="minorHAnsi"/>
        </w:rPr>
      </w:pPr>
      <w:r>
        <w:rPr>
          <w:rFonts w:cstheme="minorHAnsi"/>
        </w:rPr>
        <w:t xml:space="preserve">For a regular partition, all of the subintervals are of equal length, </w:t>
      </w:r>
      <w:r w:rsidR="00E04318" w:rsidRPr="00E579F7">
        <w:rPr>
          <w:noProof/>
          <w:position w:val="-16"/>
        </w:rPr>
        <w:object w:dxaOrig="1600" w:dyaOrig="460">
          <v:shape id="_x0000_i1055" type="#_x0000_t75" alt="" style="width:80pt;height:23pt;mso-width-percent:0;mso-height-percent:0;mso-width-percent:0;mso-height-percent:0" o:ole="">
            <v:imagedata r:id="rId67" o:title=""/>
          </v:shape>
          <o:OLEObject Type="Embed" ProgID="Equation.DSMT4" ShapeID="_x0000_i1055" DrawAspect="Content" ObjectID="_1727522164" r:id="rId68"/>
        </w:object>
      </w:r>
      <w:r>
        <w:rPr>
          <w:rFonts w:cstheme="minorHAnsi"/>
        </w:rPr>
        <w:t>.</w:t>
      </w:r>
    </w:p>
    <w:p w:rsidR="002B1B83" w:rsidRDefault="002B1B83" w:rsidP="000F1824">
      <w:pPr>
        <w:rPr>
          <w:rFonts w:cstheme="minorHAnsi"/>
        </w:rPr>
      </w:pPr>
    </w:p>
    <w:p w:rsidR="00306B14" w:rsidRDefault="00306B14">
      <w:pPr>
        <w:rPr>
          <w:rFonts w:cstheme="minorHAnsi"/>
          <w:b/>
        </w:rPr>
      </w:pPr>
    </w:p>
    <w:p w:rsidR="00F76BBF" w:rsidRPr="00F76BBF" w:rsidRDefault="00F76BBF">
      <w:pPr>
        <w:rPr>
          <w:rFonts w:cstheme="minorHAnsi"/>
          <w:b/>
        </w:rPr>
      </w:pPr>
      <w:r w:rsidRPr="00F76BBF">
        <w:rPr>
          <w:rFonts w:cstheme="minorHAnsi"/>
          <w:b/>
        </w:rPr>
        <w:lastRenderedPageBreak/>
        <w:t>Course and Exam Description Unit</w:t>
      </w:r>
    </w:p>
    <w:p w:rsidR="00F76BBF" w:rsidRDefault="002B1B83">
      <w:pPr>
        <w:rPr>
          <w:rFonts w:cstheme="minorHAnsi"/>
        </w:rPr>
      </w:pPr>
      <w:r>
        <w:rPr>
          <w:rFonts w:cstheme="minorHAnsi"/>
        </w:rPr>
        <w:t>Section 6.2: Approximating Areas with Reimann Sums</w:t>
      </w:r>
    </w:p>
    <w:p w:rsidR="00306B14" w:rsidRDefault="00306B14">
      <w:pPr>
        <w:rPr>
          <w:rFonts w:cstheme="minorHAnsi"/>
          <w:b/>
        </w:rPr>
      </w:pPr>
    </w:p>
    <w:p w:rsidR="00F76BBF" w:rsidRPr="00F76BBF" w:rsidRDefault="00F76BBF">
      <w:pPr>
        <w:rPr>
          <w:rFonts w:cstheme="minorHAnsi"/>
          <w:b/>
        </w:rPr>
      </w:pPr>
      <w:r w:rsidRPr="00F76BBF">
        <w:rPr>
          <w:rFonts w:cstheme="minorHAnsi"/>
          <w:b/>
        </w:rPr>
        <w:t>Calculator Files</w:t>
      </w:r>
    </w:p>
    <w:p w:rsidR="00F76BBF" w:rsidRPr="00F76BBF" w:rsidRDefault="002B1B83">
      <w:pPr>
        <w:rPr>
          <w:rFonts w:cstheme="minorHAnsi"/>
        </w:rPr>
      </w:pPr>
      <w:proofErr w:type="spellStart"/>
      <w:r>
        <w:rPr>
          <w:rFonts w:cstheme="minorHAnsi"/>
        </w:rPr>
        <w:t>RectangleTrapezoid.tns</w:t>
      </w:r>
      <w:proofErr w:type="spellEnd"/>
    </w:p>
    <w:p w:rsidR="00F76BBF" w:rsidRPr="00F76BBF" w:rsidRDefault="00F76BBF">
      <w:pPr>
        <w:rPr>
          <w:rFonts w:cstheme="minorHAnsi"/>
        </w:rPr>
      </w:pPr>
    </w:p>
    <w:p w:rsidR="00F76BBF" w:rsidRPr="00F76BBF" w:rsidRDefault="00F76BBF">
      <w:pPr>
        <w:rPr>
          <w:rFonts w:cstheme="minorHAnsi"/>
          <w:b/>
        </w:rPr>
      </w:pPr>
      <w:r w:rsidRPr="00F76BBF">
        <w:rPr>
          <w:rFonts w:cstheme="minorHAnsi"/>
          <w:b/>
        </w:rPr>
        <w:t>Using the Document</w:t>
      </w:r>
    </w:p>
    <w:p w:rsidR="00F76BBF" w:rsidRDefault="001A4083" w:rsidP="00D03DEC">
      <w:pPr>
        <w:rPr>
          <w:rFonts w:cstheme="minorHAnsi"/>
        </w:rPr>
      </w:pPr>
      <w:proofErr w:type="spellStart"/>
      <w:r>
        <w:rPr>
          <w:rFonts w:cstheme="minorHAnsi"/>
        </w:rPr>
        <w:t>RectangleTrapezoid.tns</w:t>
      </w:r>
      <w:proofErr w:type="spellEnd"/>
      <w:r>
        <w:rPr>
          <w:rFonts w:cstheme="minorHAnsi"/>
        </w:rPr>
        <w:t xml:space="preserve">: </w:t>
      </w:r>
      <w:r w:rsidR="005848FA">
        <w:rPr>
          <w:rFonts w:cstheme="minorHAnsi"/>
        </w:rPr>
        <w:t>This file is used to graphically compare left, right, and midpoint rectangle approximations, and trapezoidal approximations</w:t>
      </w:r>
      <w:r w:rsidR="003D0484">
        <w:rPr>
          <w:rFonts w:cstheme="minorHAnsi"/>
        </w:rPr>
        <w:t xml:space="preserve"> to the area under a curve</w:t>
      </w:r>
      <w:r w:rsidR="005848FA">
        <w:rPr>
          <w:rFonts w:cstheme="minorHAnsi"/>
        </w:rPr>
        <w:t xml:space="preserve">.  Various examples are presented </w:t>
      </w:r>
      <w:r w:rsidR="0033491F">
        <w:rPr>
          <w:rFonts w:cstheme="minorHAnsi"/>
        </w:rPr>
        <w:t xml:space="preserve">(using a single </w:t>
      </w:r>
      <w:r w:rsidR="00944F4B">
        <w:rPr>
          <w:rFonts w:cstheme="minorHAnsi"/>
        </w:rPr>
        <w:t xml:space="preserve">subinterval and single </w:t>
      </w:r>
      <w:r w:rsidR="0033491F">
        <w:rPr>
          <w:rFonts w:cstheme="minorHAnsi"/>
        </w:rPr>
        <w:t xml:space="preserve">rectangle and/or trapezoid) </w:t>
      </w:r>
      <w:r w:rsidR="005848FA">
        <w:rPr>
          <w:rFonts w:cstheme="minorHAnsi"/>
        </w:rPr>
        <w:t xml:space="preserve">to help determine when each of these approximations is an overestimate or underestimate, and to suggest which estimate produces the smallest error in estimating the area under a curve.  </w:t>
      </w:r>
      <w:r w:rsidR="0020421C">
        <w:rPr>
          <w:rFonts w:cstheme="minorHAnsi"/>
        </w:rPr>
        <w:t>Given certain characteristics of the curve, the graphs can be used to order the approximations.  And the examples allow the user to describe how concavity affects the midpoint and trapezoidal approximations.</w:t>
      </w:r>
    </w:p>
    <w:p w:rsidR="00C9384C" w:rsidRDefault="00C9384C">
      <w:pPr>
        <w:rPr>
          <w:rFonts w:cstheme="minorHAnsi"/>
        </w:rPr>
      </w:pPr>
    </w:p>
    <w:p w:rsidR="00C9384C" w:rsidRDefault="00C9384C">
      <w:pPr>
        <w:rPr>
          <w:rFonts w:cstheme="minorHAnsi"/>
        </w:rPr>
      </w:pPr>
    </w:p>
    <w:p w:rsidR="00C9384C" w:rsidRDefault="00C9384C">
      <w:pPr>
        <w:rPr>
          <w:rFonts w:cstheme="minorHAnsi"/>
        </w:rPr>
      </w:pPr>
      <w:r>
        <w:rPr>
          <w:rFonts w:cstheme="minorHAnsi"/>
        </w:rPr>
        <w:t>Page 1.1</w:t>
      </w:r>
    </w:p>
    <w:tbl>
      <w:tblPr>
        <w:tblStyle w:val="TableGrid"/>
        <w:tblW w:w="0" w:type="auto"/>
        <w:tblLook w:val="04A0" w:firstRow="1" w:lastRow="0" w:firstColumn="1" w:lastColumn="0" w:noHBand="0" w:noVBand="1"/>
      </w:tblPr>
      <w:tblGrid>
        <w:gridCol w:w="3816"/>
        <w:gridCol w:w="5534"/>
      </w:tblGrid>
      <w:tr w:rsidR="00C9384C" w:rsidTr="00854ACB">
        <w:tc>
          <w:tcPr>
            <w:tcW w:w="0" w:type="auto"/>
          </w:tcPr>
          <w:p w:rsidR="00C9384C" w:rsidRDefault="00C9384C">
            <w:pPr>
              <w:rPr>
                <w:rFonts w:cstheme="minorHAnsi"/>
              </w:rPr>
            </w:pPr>
            <w:r>
              <w:rPr>
                <w:rFonts w:cstheme="minorHAnsi"/>
                <w:noProof/>
              </w:rPr>
              <w:drawing>
                <wp:inline distT="0" distB="0" distL="0" distR="0">
                  <wp:extent cx="228600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_1_1.png"/>
                          <pic:cNvPicPr/>
                        </pic:nvPicPr>
                        <pic:blipFill>
                          <a:blip r:embed="rId69"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0" w:type="auto"/>
          </w:tcPr>
          <w:p w:rsidR="00C9384C" w:rsidRDefault="00C9384C">
            <w:pPr>
              <w:rPr>
                <w:rFonts w:cstheme="minorHAnsi"/>
              </w:rPr>
            </w:pPr>
            <w:r>
              <w:rPr>
                <w:rFonts w:cstheme="minorHAnsi"/>
              </w:rPr>
              <w:t xml:space="preserve">This welcome screen provides the intent of this activity; to visually, or graphically, compare left, right, and midpoint rectangle approximations, and trapezoidal approximations. </w:t>
            </w:r>
          </w:p>
        </w:tc>
      </w:tr>
    </w:tbl>
    <w:p w:rsidR="00C9384C" w:rsidRDefault="00C9384C">
      <w:pPr>
        <w:rPr>
          <w:rFonts w:cstheme="minorHAnsi"/>
        </w:rPr>
      </w:pPr>
    </w:p>
    <w:p w:rsidR="002B1B83" w:rsidRDefault="002B1B83">
      <w:pPr>
        <w:rPr>
          <w:rFonts w:cstheme="minorHAnsi"/>
        </w:rPr>
      </w:pPr>
    </w:p>
    <w:p w:rsidR="002B1B83" w:rsidRDefault="007921F4">
      <w:pPr>
        <w:rPr>
          <w:rFonts w:cstheme="minorHAnsi"/>
        </w:rPr>
      </w:pPr>
      <w:r>
        <w:rPr>
          <w:rFonts w:cstheme="minorHAnsi"/>
        </w:rPr>
        <w:t>Page 1.2</w:t>
      </w:r>
    </w:p>
    <w:tbl>
      <w:tblPr>
        <w:tblStyle w:val="TableGrid"/>
        <w:tblW w:w="0" w:type="auto"/>
        <w:tblLook w:val="04A0" w:firstRow="1" w:lastRow="0" w:firstColumn="1" w:lastColumn="0" w:noHBand="0" w:noVBand="1"/>
      </w:tblPr>
      <w:tblGrid>
        <w:gridCol w:w="3816"/>
        <w:gridCol w:w="5534"/>
      </w:tblGrid>
      <w:tr w:rsidR="007921F4" w:rsidTr="00C26068">
        <w:tc>
          <w:tcPr>
            <w:tcW w:w="0" w:type="auto"/>
          </w:tcPr>
          <w:p w:rsidR="007921F4" w:rsidRDefault="007921F4">
            <w:pPr>
              <w:rPr>
                <w:rFonts w:cstheme="minorHAnsi"/>
              </w:rPr>
            </w:pPr>
            <w:r>
              <w:rPr>
                <w:rFonts w:cstheme="minorHAnsi"/>
                <w:noProof/>
              </w:rPr>
              <w:drawing>
                <wp:inline distT="0" distB="0" distL="0" distR="0">
                  <wp:extent cx="2286000" cy="171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_1_2.png"/>
                          <pic:cNvPicPr/>
                        </pic:nvPicPr>
                        <pic:blipFill>
                          <a:blip r:embed="rId70"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0" w:type="auto"/>
          </w:tcPr>
          <w:p w:rsidR="007921F4" w:rsidRDefault="007921F4">
            <w:pPr>
              <w:rPr>
                <w:rFonts w:cstheme="minorHAnsi"/>
              </w:rPr>
            </w:pPr>
            <w:r>
              <w:rPr>
                <w:rFonts w:cstheme="minorHAnsi"/>
              </w:rPr>
              <w:t xml:space="preserve">On pages 2.1 – 5.1, the user can compare rectangle approximations to trapezoidal approximations.  </w:t>
            </w:r>
            <w:r w:rsidR="00FC46DB">
              <w:rPr>
                <w:rFonts w:cstheme="minorHAnsi"/>
              </w:rPr>
              <w:t>Each curve exhibits different characteristics.  On pages 6.1 – 9.1, the user can compare a midpoint approximation to the corresponding trapezoidal approximations.  And each curve exhibits different characteristics.  The sliders are used to toggle between views.</w:t>
            </w:r>
          </w:p>
        </w:tc>
      </w:tr>
    </w:tbl>
    <w:p w:rsidR="007921F4" w:rsidRDefault="007921F4">
      <w:pPr>
        <w:rPr>
          <w:rFonts w:cstheme="minorHAnsi"/>
        </w:rPr>
      </w:pPr>
    </w:p>
    <w:p w:rsidR="0033491F" w:rsidRDefault="0033491F">
      <w:pPr>
        <w:rPr>
          <w:rFonts w:cstheme="minorHAnsi"/>
        </w:rPr>
      </w:pPr>
      <w:r>
        <w:rPr>
          <w:rFonts w:cstheme="minorHAnsi"/>
        </w:rPr>
        <w:br w:type="page"/>
      </w:r>
    </w:p>
    <w:p w:rsidR="0033491F" w:rsidRDefault="0033491F">
      <w:pPr>
        <w:rPr>
          <w:rFonts w:cstheme="minorHAnsi"/>
        </w:rPr>
      </w:pPr>
      <w:r>
        <w:rPr>
          <w:rFonts w:cstheme="minorHAnsi"/>
        </w:rPr>
        <w:lastRenderedPageBreak/>
        <w:t>Page 2.1</w:t>
      </w:r>
    </w:p>
    <w:tbl>
      <w:tblPr>
        <w:tblStyle w:val="TableGrid"/>
        <w:tblW w:w="0" w:type="auto"/>
        <w:tblLook w:val="04A0" w:firstRow="1" w:lastRow="0" w:firstColumn="1" w:lastColumn="0" w:noHBand="0" w:noVBand="1"/>
      </w:tblPr>
      <w:tblGrid>
        <w:gridCol w:w="3816"/>
        <w:gridCol w:w="5534"/>
      </w:tblGrid>
      <w:tr w:rsidR="0033491F" w:rsidTr="00201EC5">
        <w:tc>
          <w:tcPr>
            <w:tcW w:w="0" w:type="auto"/>
          </w:tcPr>
          <w:p w:rsidR="0033491F" w:rsidRDefault="0033491F">
            <w:pPr>
              <w:rPr>
                <w:rFonts w:cstheme="minorHAnsi"/>
              </w:rPr>
            </w:pPr>
            <w:r>
              <w:rPr>
                <w:rFonts w:cstheme="minorHAnsi"/>
                <w:noProof/>
              </w:rPr>
              <w:drawing>
                <wp:inline distT="0" distB="0" distL="0" distR="0">
                  <wp:extent cx="2286000" cy="171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_2_1.png"/>
                          <pic:cNvPicPr/>
                        </pic:nvPicPr>
                        <pic:blipFill>
                          <a:blip r:embed="rId71"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0" w:type="auto"/>
          </w:tcPr>
          <w:p w:rsidR="0033491F" w:rsidRDefault="00201EC5">
            <w:pPr>
              <w:rPr>
                <w:rFonts w:cstheme="minorHAnsi"/>
              </w:rPr>
            </w:pPr>
            <w:r>
              <w:rPr>
                <w:rFonts w:cstheme="minorHAnsi"/>
              </w:rPr>
              <w:t xml:space="preserve">The </w:t>
            </w:r>
            <w:r w:rsidR="005122BB">
              <w:rPr>
                <w:rFonts w:cstheme="minorHAnsi"/>
              </w:rPr>
              <w:t>default view shows the graph of</w:t>
            </w:r>
            <w:r w:rsidR="0033491F">
              <w:rPr>
                <w:rFonts w:cstheme="minorHAnsi"/>
              </w:rPr>
              <w:t xml:space="preserve"> a function </w:t>
            </w:r>
            <w:r w:rsidR="00E04318" w:rsidRPr="00E579F7">
              <w:rPr>
                <w:noProof/>
                <w:position w:val="-6"/>
              </w:rPr>
              <w:object w:dxaOrig="160" w:dyaOrig="220">
                <v:shape id="_x0000_i1056" type="#_x0000_t75" alt="" style="width:8pt;height:11pt;mso-width-percent:0;mso-height-percent:0;mso-width-percent:0;mso-height-percent:0" o:ole="">
                  <v:imagedata r:id="rId72" o:title=""/>
                </v:shape>
                <o:OLEObject Type="Embed" ProgID="Equation.DSMT4" ShapeID="_x0000_i1056" DrawAspect="Content" ObjectID="_1727522165" r:id="rId73"/>
              </w:object>
            </w:r>
            <w:r w:rsidR="0033491F">
              <w:rPr>
                <w:rFonts w:cstheme="minorHAnsi"/>
              </w:rPr>
              <w:t xml:space="preserve"> where the shaded area represents the area under the curve over one subinterval.  The slider is used to toggle between different (shaded region) views: the exact area under the curve, an estimate of the area under the curve using a rectangle constructed using the left endpoint of the subinterval, an estimate of the area under the curve using a rectangle constructed using the right endpoint, and an estimate of the area under the curve using a trapezoid.</w:t>
            </w:r>
          </w:p>
        </w:tc>
      </w:tr>
    </w:tbl>
    <w:p w:rsidR="0033491F" w:rsidRDefault="0033491F">
      <w:pPr>
        <w:rPr>
          <w:rFonts w:cstheme="minorHAnsi"/>
        </w:rPr>
      </w:pPr>
    </w:p>
    <w:p w:rsidR="002B1B83" w:rsidRDefault="002B1B83">
      <w:pPr>
        <w:rPr>
          <w:rFonts w:cstheme="minorHAnsi"/>
        </w:rPr>
      </w:pPr>
    </w:p>
    <w:p w:rsidR="002B1B83" w:rsidRDefault="005F1494">
      <w:pPr>
        <w:rPr>
          <w:rFonts w:cstheme="minorHAnsi"/>
        </w:rPr>
      </w:pPr>
      <w:r>
        <w:rPr>
          <w:rFonts w:cstheme="minorHAnsi"/>
        </w:rPr>
        <w:t>Pages 3.1 – 5.1</w:t>
      </w:r>
    </w:p>
    <w:tbl>
      <w:tblPr>
        <w:tblStyle w:val="TableGrid"/>
        <w:tblW w:w="0" w:type="auto"/>
        <w:tblLook w:val="04A0" w:firstRow="1" w:lastRow="0" w:firstColumn="1" w:lastColumn="0" w:noHBand="0" w:noVBand="1"/>
      </w:tblPr>
      <w:tblGrid>
        <w:gridCol w:w="3816"/>
        <w:gridCol w:w="5534"/>
      </w:tblGrid>
      <w:tr w:rsidR="00A60BE3" w:rsidTr="004E33D1">
        <w:tc>
          <w:tcPr>
            <w:tcW w:w="0" w:type="auto"/>
          </w:tcPr>
          <w:p w:rsidR="00A60BE3" w:rsidRDefault="004E33D1">
            <w:pPr>
              <w:rPr>
                <w:rFonts w:cstheme="minorHAnsi"/>
              </w:rPr>
            </w:pPr>
            <w:r>
              <w:rPr>
                <w:rFonts w:cstheme="minorHAnsi"/>
                <w:noProof/>
              </w:rPr>
              <w:drawing>
                <wp:inline distT="0" distB="0" distL="0" distR="0">
                  <wp:extent cx="2286000" cy="171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_3_1.pn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0" w:type="auto"/>
          </w:tcPr>
          <w:p w:rsidR="004E33D1" w:rsidRDefault="004E33D1" w:rsidP="004E33D1">
            <w:pPr>
              <w:rPr>
                <w:rFonts w:cstheme="minorHAnsi"/>
              </w:rPr>
            </w:pPr>
            <w:r>
              <w:rPr>
                <w:rFonts w:cstheme="minorHAnsi"/>
              </w:rPr>
              <w:t xml:space="preserve">These three calculator pages are similar to Page 2.1.  However, each shows the graph of a function </w:t>
            </w:r>
            <w:r w:rsidR="00E04318" w:rsidRPr="00E579F7">
              <w:rPr>
                <w:noProof/>
                <w:position w:val="-6"/>
              </w:rPr>
              <w:object w:dxaOrig="160" w:dyaOrig="220">
                <v:shape id="_x0000_i1057" type="#_x0000_t75" alt="" style="width:8pt;height:11pt;mso-width-percent:0;mso-height-percent:0;mso-width-percent:0;mso-height-percent:0" o:ole="">
                  <v:imagedata r:id="rId75" o:title=""/>
                </v:shape>
                <o:OLEObject Type="Embed" ProgID="Equation.DSMT4" ShapeID="_x0000_i1057" DrawAspect="Content" ObjectID="_1727522166" r:id="rId76"/>
              </w:object>
            </w:r>
            <w:r>
              <w:rPr>
                <w:rFonts w:cstheme="minorHAnsi"/>
              </w:rPr>
              <w:t xml:space="preserve"> with different characteristics.  The same four views are available using the slider: exact area, left endpoint rectangle, right endpoint rectangle, and trapezoid.</w:t>
            </w:r>
          </w:p>
          <w:p w:rsidR="00A60BE3" w:rsidRDefault="00A60BE3">
            <w:pPr>
              <w:rPr>
                <w:rFonts w:cstheme="minorHAnsi"/>
              </w:rPr>
            </w:pPr>
          </w:p>
        </w:tc>
      </w:tr>
      <w:tr w:rsidR="00A60BE3" w:rsidTr="004E33D1">
        <w:tc>
          <w:tcPr>
            <w:tcW w:w="0" w:type="auto"/>
          </w:tcPr>
          <w:p w:rsidR="00A60BE3" w:rsidRDefault="004E33D1">
            <w:pPr>
              <w:rPr>
                <w:rFonts w:cstheme="minorHAnsi"/>
              </w:rPr>
            </w:pPr>
            <w:r>
              <w:rPr>
                <w:rFonts w:cstheme="minorHAnsi"/>
                <w:noProof/>
              </w:rPr>
              <w:drawing>
                <wp:inline distT="0" distB="0" distL="0" distR="0">
                  <wp:extent cx="2286000" cy="1714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_4_1.png"/>
                          <pic:cNvPicPr/>
                        </pic:nvPicPr>
                        <pic:blipFill>
                          <a:blip r:embed="rId77"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0" w:type="auto"/>
          </w:tcPr>
          <w:p w:rsidR="00A60BE3" w:rsidRDefault="004E33D1">
            <w:pPr>
              <w:rPr>
                <w:rFonts w:cstheme="minorHAnsi"/>
              </w:rPr>
            </w:pPr>
            <w:r>
              <w:rPr>
                <w:rFonts w:cstheme="minorHAnsi"/>
                <w:noProof/>
              </w:rPr>
              <w:drawing>
                <wp:inline distT="0" distB="0" distL="0" distR="0">
                  <wp:extent cx="2286000" cy="1714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ge_5_1.png"/>
                          <pic:cNvPicPr/>
                        </pic:nvPicPr>
                        <pic:blipFill>
                          <a:blip r:embed="rId78"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r>
    </w:tbl>
    <w:p w:rsidR="00A60BE3" w:rsidRDefault="00A60BE3">
      <w:pPr>
        <w:rPr>
          <w:rFonts w:cstheme="minorHAnsi"/>
        </w:rPr>
      </w:pPr>
    </w:p>
    <w:p w:rsidR="00A60BE3" w:rsidRDefault="00A60BE3">
      <w:pPr>
        <w:rPr>
          <w:rFonts w:cstheme="minorHAnsi"/>
        </w:rPr>
      </w:pPr>
    </w:p>
    <w:p w:rsidR="005F1494" w:rsidRDefault="005F1494">
      <w:pPr>
        <w:rPr>
          <w:rFonts w:cstheme="minorHAnsi"/>
        </w:rPr>
      </w:pPr>
    </w:p>
    <w:p w:rsidR="004E33D1" w:rsidRDefault="004E33D1">
      <w:pPr>
        <w:rPr>
          <w:rFonts w:cstheme="minorHAnsi"/>
        </w:rPr>
      </w:pPr>
      <w:r>
        <w:rPr>
          <w:rFonts w:cstheme="minorHAnsi"/>
        </w:rPr>
        <w:br w:type="page"/>
      </w:r>
    </w:p>
    <w:p w:rsidR="005F1494" w:rsidRDefault="00CE1750">
      <w:pPr>
        <w:rPr>
          <w:rFonts w:cstheme="minorHAnsi"/>
        </w:rPr>
      </w:pPr>
      <w:r>
        <w:rPr>
          <w:rFonts w:cstheme="minorHAnsi"/>
        </w:rPr>
        <w:lastRenderedPageBreak/>
        <w:t>Page 6.1</w:t>
      </w:r>
    </w:p>
    <w:tbl>
      <w:tblPr>
        <w:tblStyle w:val="TableGrid"/>
        <w:tblW w:w="0" w:type="auto"/>
        <w:tblLook w:val="04A0" w:firstRow="1" w:lastRow="0" w:firstColumn="1" w:lastColumn="0" w:noHBand="0" w:noVBand="1"/>
      </w:tblPr>
      <w:tblGrid>
        <w:gridCol w:w="3816"/>
        <w:gridCol w:w="5534"/>
      </w:tblGrid>
      <w:tr w:rsidR="0087175C" w:rsidTr="00003437">
        <w:tc>
          <w:tcPr>
            <w:tcW w:w="0" w:type="auto"/>
          </w:tcPr>
          <w:p w:rsidR="0087175C" w:rsidRDefault="0087175C">
            <w:pPr>
              <w:rPr>
                <w:rFonts w:cstheme="minorHAnsi"/>
              </w:rPr>
            </w:pPr>
            <w:r>
              <w:rPr>
                <w:rFonts w:cstheme="minorHAnsi"/>
                <w:noProof/>
              </w:rPr>
              <w:drawing>
                <wp:inline distT="0" distB="0" distL="0" distR="0">
                  <wp:extent cx="2286000" cy="1714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ge_6_1.pn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0" w:type="auto"/>
          </w:tcPr>
          <w:p w:rsidR="0087175C" w:rsidRDefault="0087175C">
            <w:pPr>
              <w:rPr>
                <w:rFonts w:cstheme="minorHAnsi"/>
              </w:rPr>
            </w:pPr>
            <w:r>
              <w:rPr>
                <w:rFonts w:cstheme="minorHAnsi"/>
              </w:rPr>
              <w:t xml:space="preserve">The default view shows the graph of a function </w:t>
            </w:r>
            <w:r w:rsidR="00E04318" w:rsidRPr="00E579F7">
              <w:rPr>
                <w:noProof/>
                <w:position w:val="-6"/>
              </w:rPr>
              <w:object w:dxaOrig="160" w:dyaOrig="220">
                <v:shape id="_x0000_i1058" type="#_x0000_t75" alt="" style="width:8pt;height:11pt;mso-width-percent:0;mso-height-percent:0;mso-width-percent:0;mso-height-percent:0" o:ole="">
                  <v:imagedata r:id="rId80" o:title=""/>
                </v:shape>
                <o:OLEObject Type="Embed" ProgID="Equation.DSMT4" ShapeID="_x0000_i1058" DrawAspect="Content" ObjectID="_1727522167" r:id="rId81"/>
              </w:object>
            </w:r>
            <w:r>
              <w:rPr>
                <w:rFonts w:cstheme="minorHAnsi"/>
              </w:rPr>
              <w:t xml:space="preserve"> where the shaded area represents the area under the curve over one subinterval.  The slider is used to toggle between different views: the shaded region that represents the exact area under the curve, the point on the graph of </w:t>
            </w:r>
            <w:r w:rsidR="00E04318" w:rsidRPr="00E579F7">
              <w:rPr>
                <w:noProof/>
                <w:position w:val="-6"/>
              </w:rPr>
              <w:object w:dxaOrig="160" w:dyaOrig="220">
                <v:shape id="_x0000_i1059" type="#_x0000_t75" alt="" style="width:8pt;height:11pt;mso-width-percent:0;mso-height-percent:0;mso-width-percent:0;mso-height-percent:0" o:ole="">
                  <v:imagedata r:id="rId82" o:title=""/>
                </v:shape>
                <o:OLEObject Type="Embed" ProgID="Equation.DSMT4" ShapeID="_x0000_i1059" DrawAspect="Content" ObjectID="_1727522168" r:id="rId83"/>
              </w:object>
            </w:r>
            <w:r>
              <w:rPr>
                <w:rFonts w:cstheme="minorHAnsi"/>
              </w:rPr>
              <w:t xml:space="preserve"> used to construct a midpoint rectangle (value at midpoint), the shaded region that represents an estimate of the area under the curve using the midpoint of the subinterval</w:t>
            </w:r>
            <w:r w:rsidR="00944F4B">
              <w:rPr>
                <w:rFonts w:cstheme="minorHAnsi"/>
              </w:rPr>
              <w:t>, and the shaded region that represents an estimate of the area under the curve using a trapezoid.</w:t>
            </w:r>
            <w:r w:rsidR="00B97BE8">
              <w:rPr>
                <w:rFonts w:cstheme="minorHAnsi"/>
              </w:rPr>
              <w:t xml:space="preserve">  Using the slider repeatedly, the pivot option shows the top of the midpoint rectangle </w:t>
            </w:r>
            <w:r w:rsidR="0033521D">
              <w:rPr>
                <w:rFonts w:cstheme="minorHAnsi"/>
              </w:rPr>
              <w:t>rotating to a position parallel to the top of a trapezoid (used to estimate the area under the curve).  The compare option shows the trapezoid and a slice of the pivoted midpoint rectangle.</w:t>
            </w:r>
            <w:r w:rsidR="00B97BE8">
              <w:rPr>
                <w:rFonts w:cstheme="minorHAnsi"/>
              </w:rPr>
              <w:t xml:space="preserve"> </w:t>
            </w:r>
          </w:p>
        </w:tc>
      </w:tr>
    </w:tbl>
    <w:p w:rsidR="00CE1750" w:rsidRDefault="00CE1750">
      <w:pPr>
        <w:rPr>
          <w:rFonts w:cstheme="minorHAnsi"/>
        </w:rPr>
      </w:pPr>
    </w:p>
    <w:p w:rsidR="002B1B83" w:rsidRDefault="002B1B83">
      <w:pPr>
        <w:rPr>
          <w:rFonts w:cstheme="minorHAnsi"/>
        </w:rPr>
      </w:pPr>
    </w:p>
    <w:p w:rsidR="007F3966" w:rsidRDefault="007F3966">
      <w:pPr>
        <w:rPr>
          <w:rFonts w:cstheme="minorHAnsi"/>
        </w:rPr>
      </w:pPr>
      <w:r>
        <w:rPr>
          <w:rFonts w:cstheme="minorHAnsi"/>
        </w:rPr>
        <w:t>Pages 7.1 – 9.1</w:t>
      </w:r>
    </w:p>
    <w:tbl>
      <w:tblPr>
        <w:tblStyle w:val="TableGrid"/>
        <w:tblW w:w="0" w:type="auto"/>
        <w:tblLook w:val="04A0" w:firstRow="1" w:lastRow="0" w:firstColumn="1" w:lastColumn="0" w:noHBand="0" w:noVBand="1"/>
      </w:tblPr>
      <w:tblGrid>
        <w:gridCol w:w="3966"/>
        <w:gridCol w:w="5384"/>
      </w:tblGrid>
      <w:tr w:rsidR="004E33D1" w:rsidTr="004E33D1">
        <w:tc>
          <w:tcPr>
            <w:tcW w:w="0" w:type="auto"/>
          </w:tcPr>
          <w:p w:rsidR="004E33D1" w:rsidRDefault="004E33D1">
            <w:pPr>
              <w:rPr>
                <w:rFonts w:cstheme="minorHAnsi"/>
              </w:rPr>
            </w:pPr>
            <w:r>
              <w:rPr>
                <w:rFonts w:cstheme="minorHAnsi"/>
                <w:noProof/>
              </w:rPr>
              <w:drawing>
                <wp:inline distT="0" distB="0" distL="0" distR="0">
                  <wp:extent cx="2286000" cy="1714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ge_7_1.png"/>
                          <pic:cNvPicPr/>
                        </pic:nvPicPr>
                        <pic:blipFill>
                          <a:blip r:embed="rId84"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0" w:type="auto"/>
          </w:tcPr>
          <w:p w:rsidR="004E33D1" w:rsidRDefault="004E33D1" w:rsidP="004E33D1">
            <w:pPr>
              <w:rPr>
                <w:rFonts w:cstheme="minorHAnsi"/>
              </w:rPr>
            </w:pPr>
            <w:r>
              <w:rPr>
                <w:rFonts w:cstheme="minorHAnsi"/>
              </w:rPr>
              <w:t xml:space="preserve">These three calculator pages are similar to Page 6.1.  </w:t>
            </w:r>
            <w:proofErr w:type="gramStart"/>
            <w:r>
              <w:rPr>
                <w:rFonts w:cstheme="minorHAnsi"/>
              </w:rPr>
              <w:t>However</w:t>
            </w:r>
            <w:proofErr w:type="gramEnd"/>
            <w:r>
              <w:rPr>
                <w:rFonts w:cstheme="minorHAnsi"/>
              </w:rPr>
              <w:t xml:space="preserve"> each shows the graph of a function </w:t>
            </w:r>
            <w:r w:rsidR="00E04318" w:rsidRPr="00E579F7">
              <w:rPr>
                <w:noProof/>
                <w:position w:val="-6"/>
              </w:rPr>
              <w:object w:dxaOrig="160" w:dyaOrig="220">
                <v:shape id="_x0000_i1060" type="#_x0000_t75" alt="" style="width:8pt;height:11pt;mso-width-percent:0;mso-height-percent:0;mso-width-percent:0;mso-height-percent:0" o:ole="">
                  <v:imagedata r:id="rId85" o:title=""/>
                </v:shape>
                <o:OLEObject Type="Embed" ProgID="Equation.DSMT4" ShapeID="_x0000_i1060" DrawAspect="Content" ObjectID="_1727522169" r:id="rId86"/>
              </w:object>
            </w:r>
            <w:r>
              <w:rPr>
                <w:rFonts w:cstheme="minorHAnsi"/>
              </w:rPr>
              <w:t xml:space="preserve"> with different characteristics.  The same four views are available using the slider: exact area, value at the midpoint, midpoint rectangle, pivot, and compare (with a trapezoid).</w:t>
            </w:r>
          </w:p>
          <w:p w:rsidR="004E33D1" w:rsidRDefault="004E33D1">
            <w:pPr>
              <w:rPr>
                <w:rFonts w:cstheme="minorHAnsi"/>
              </w:rPr>
            </w:pPr>
          </w:p>
        </w:tc>
      </w:tr>
      <w:tr w:rsidR="004E33D1" w:rsidTr="004E33D1">
        <w:tc>
          <w:tcPr>
            <w:tcW w:w="0" w:type="auto"/>
          </w:tcPr>
          <w:p w:rsidR="004E33D1" w:rsidRDefault="004E33D1">
            <w:pPr>
              <w:rPr>
                <w:rFonts w:cstheme="minorHAnsi"/>
              </w:rPr>
            </w:pPr>
            <w:r>
              <w:rPr>
                <w:rFonts w:cstheme="minorHAnsi"/>
                <w:noProof/>
              </w:rPr>
              <w:drawing>
                <wp:inline distT="0" distB="0" distL="0" distR="0">
                  <wp:extent cx="2377440" cy="1783080"/>
                  <wp:effectExtent l="0" t="0" r="38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ge_8_1.pn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2377440" cy="1783080"/>
                          </a:xfrm>
                          <a:prstGeom prst="rect">
                            <a:avLst/>
                          </a:prstGeom>
                        </pic:spPr>
                      </pic:pic>
                    </a:graphicData>
                  </a:graphic>
                </wp:inline>
              </w:drawing>
            </w:r>
          </w:p>
        </w:tc>
        <w:tc>
          <w:tcPr>
            <w:tcW w:w="0" w:type="auto"/>
          </w:tcPr>
          <w:p w:rsidR="004E33D1" w:rsidRDefault="004E33D1">
            <w:pPr>
              <w:rPr>
                <w:rFonts w:cstheme="minorHAnsi"/>
              </w:rPr>
            </w:pPr>
            <w:r>
              <w:rPr>
                <w:rFonts w:cstheme="minorHAnsi"/>
                <w:noProof/>
              </w:rPr>
              <w:drawing>
                <wp:inline distT="0" distB="0" distL="0" distR="0">
                  <wp:extent cx="2286000" cy="1714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ge_9_1.png"/>
                          <pic:cNvPicPr/>
                        </pic:nvPicPr>
                        <pic:blipFill>
                          <a:blip r:embed="rId88"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r>
    </w:tbl>
    <w:p w:rsidR="004E33D1" w:rsidRDefault="004E33D1">
      <w:pPr>
        <w:rPr>
          <w:rFonts w:cstheme="minorHAnsi"/>
        </w:rPr>
      </w:pPr>
    </w:p>
    <w:p w:rsidR="004E33D1" w:rsidRDefault="004E33D1">
      <w:pPr>
        <w:rPr>
          <w:rFonts w:cstheme="minorHAnsi"/>
        </w:rPr>
      </w:pPr>
    </w:p>
    <w:p w:rsidR="00D53329" w:rsidRDefault="00D53329">
      <w:pPr>
        <w:rPr>
          <w:rFonts w:cstheme="minorHAnsi"/>
        </w:rPr>
      </w:pPr>
      <w:r>
        <w:rPr>
          <w:rFonts w:cstheme="minorHAnsi"/>
        </w:rPr>
        <w:br w:type="page"/>
      </w:r>
    </w:p>
    <w:p w:rsidR="00DA2B7C" w:rsidRPr="00F76BBF" w:rsidRDefault="00F76BBF">
      <w:pPr>
        <w:rPr>
          <w:rFonts w:cstheme="minorHAnsi"/>
          <w:b/>
        </w:rPr>
      </w:pPr>
      <w:r w:rsidRPr="00F76BBF">
        <w:rPr>
          <w:rFonts w:cstheme="minorHAnsi"/>
          <w:b/>
        </w:rPr>
        <w:lastRenderedPageBreak/>
        <w:t>Suggested Applications and Extensions</w:t>
      </w:r>
    </w:p>
    <w:p w:rsidR="00F76BBF" w:rsidRDefault="00F76BBF">
      <w:pPr>
        <w:rPr>
          <w:rFonts w:cstheme="minorHAnsi"/>
        </w:rPr>
      </w:pPr>
    </w:p>
    <w:p w:rsidR="000B191D" w:rsidRPr="000B191D" w:rsidRDefault="000B191D">
      <w:pPr>
        <w:rPr>
          <w:rFonts w:cstheme="minorHAnsi"/>
          <w:b/>
        </w:rPr>
      </w:pPr>
      <w:r w:rsidRPr="000B191D">
        <w:rPr>
          <w:rFonts w:cstheme="minorHAnsi"/>
          <w:b/>
        </w:rPr>
        <w:t xml:space="preserve">Page </w:t>
      </w:r>
      <w:r w:rsidR="00805741">
        <w:rPr>
          <w:rFonts w:cstheme="minorHAnsi"/>
          <w:b/>
        </w:rPr>
        <w:t>2.1</w:t>
      </w:r>
    </w:p>
    <w:p w:rsidR="000B191D" w:rsidRDefault="000B191D">
      <w:pPr>
        <w:rPr>
          <w:rFonts w:cstheme="minorHAnsi"/>
        </w:rPr>
      </w:pPr>
      <w:r>
        <w:rPr>
          <w:rFonts w:cstheme="minorHAnsi"/>
        </w:rPr>
        <w:t>Use the slider arrow to view the shaded regions that represent the exact area under the curve and the estimates of the area under the curve.</w:t>
      </w:r>
    </w:p>
    <w:p w:rsidR="000B191D" w:rsidRDefault="000B191D" w:rsidP="004A70C2">
      <w:pPr>
        <w:pStyle w:val="ListParagraph"/>
        <w:numPr>
          <w:ilvl w:val="0"/>
          <w:numId w:val="2"/>
        </w:numPr>
        <w:ind w:left="450" w:hanging="90"/>
        <w:rPr>
          <w:rFonts w:cstheme="minorHAnsi"/>
        </w:rPr>
      </w:pPr>
      <w:r>
        <w:rPr>
          <w:rFonts w:cstheme="minorHAnsi"/>
        </w:rPr>
        <w:t>Explain how each estimate re</w:t>
      </w:r>
      <w:r w:rsidR="00FA6A1A">
        <w:rPr>
          <w:rFonts w:cstheme="minorHAnsi"/>
        </w:rPr>
        <w:t xml:space="preserve">gion </w:t>
      </w:r>
      <w:r>
        <w:rPr>
          <w:rFonts w:cstheme="minorHAnsi"/>
        </w:rPr>
        <w:t>is constructed: left endpoint rectangle, right endpoint rectangle, and trapezoid.</w:t>
      </w:r>
    </w:p>
    <w:p w:rsidR="000B191D" w:rsidRDefault="00476DC1" w:rsidP="004A70C2">
      <w:pPr>
        <w:pStyle w:val="ListParagraph"/>
        <w:numPr>
          <w:ilvl w:val="0"/>
          <w:numId w:val="2"/>
        </w:numPr>
        <w:ind w:left="450" w:hanging="90"/>
        <w:rPr>
          <w:rFonts w:cstheme="minorHAnsi"/>
        </w:rPr>
      </w:pPr>
      <w:r>
        <w:rPr>
          <w:rFonts w:cstheme="minorHAnsi"/>
        </w:rPr>
        <w:t>Which of these three estimates is an overestimate for the exact area?  Which of these is an underestimate?  Which estimate do you think is the closest to the exact area?</w:t>
      </w:r>
    </w:p>
    <w:p w:rsidR="00476DC1" w:rsidRDefault="00476DC1" w:rsidP="004A70C2">
      <w:pPr>
        <w:pStyle w:val="ListParagraph"/>
        <w:numPr>
          <w:ilvl w:val="0"/>
          <w:numId w:val="2"/>
        </w:numPr>
        <w:ind w:left="450" w:hanging="90"/>
        <w:rPr>
          <w:rFonts w:cstheme="minorHAnsi"/>
        </w:rPr>
      </w:pPr>
      <w:r>
        <w:rPr>
          <w:rFonts w:cstheme="minorHAnsi"/>
        </w:rPr>
        <w:t>Do you think that your answers to Problem 2 will be true for any function?  Explain you reasoning.</w:t>
      </w:r>
    </w:p>
    <w:p w:rsidR="00476DC1" w:rsidRDefault="00476DC1" w:rsidP="00476DC1">
      <w:pPr>
        <w:rPr>
          <w:rFonts w:cstheme="minorHAnsi"/>
        </w:rPr>
      </w:pPr>
    </w:p>
    <w:p w:rsidR="00476DC1" w:rsidRPr="004A70C2" w:rsidRDefault="00476DC1" w:rsidP="00476DC1">
      <w:pPr>
        <w:rPr>
          <w:rFonts w:cstheme="minorHAnsi"/>
          <w:b/>
        </w:rPr>
      </w:pPr>
      <w:r w:rsidRPr="004A70C2">
        <w:rPr>
          <w:rFonts w:cstheme="minorHAnsi"/>
          <w:b/>
        </w:rPr>
        <w:t xml:space="preserve">Page </w:t>
      </w:r>
      <w:r w:rsidR="00805741">
        <w:rPr>
          <w:rFonts w:cstheme="minorHAnsi"/>
          <w:b/>
        </w:rPr>
        <w:t>3.1</w:t>
      </w:r>
    </w:p>
    <w:p w:rsidR="004A70C2" w:rsidRDefault="00805741" w:rsidP="00C9797E">
      <w:pPr>
        <w:pStyle w:val="ListParagraph"/>
        <w:numPr>
          <w:ilvl w:val="0"/>
          <w:numId w:val="4"/>
        </w:numPr>
        <w:ind w:left="450" w:hanging="90"/>
        <w:rPr>
          <w:rFonts w:cstheme="minorHAnsi"/>
        </w:rPr>
      </w:pPr>
      <w:r>
        <w:rPr>
          <w:rFonts w:cstheme="minorHAnsi"/>
        </w:rPr>
        <w:t>Use the slider to observe the estimates of the shaded area under the curve.  Which of these three estimates is an overestimate for the exact area?  Which is an underestimate?  Are these results consistent with your answer to Problem 3 on Page 2.1?  If so, explain why?  If not, how would you adjust your prediction for overestimates and underestimates?</w:t>
      </w:r>
    </w:p>
    <w:p w:rsidR="00805741" w:rsidRDefault="00352C1E" w:rsidP="00C9797E">
      <w:pPr>
        <w:pStyle w:val="ListParagraph"/>
        <w:numPr>
          <w:ilvl w:val="0"/>
          <w:numId w:val="4"/>
        </w:numPr>
        <w:ind w:left="450" w:hanging="90"/>
        <w:rPr>
          <w:rFonts w:cstheme="minorHAnsi"/>
        </w:rPr>
      </w:pPr>
      <w:r>
        <w:rPr>
          <w:rFonts w:cstheme="minorHAnsi"/>
        </w:rPr>
        <w:t>When will the trapezoid be an overestimate?  When will it be an underestimate?  When will it be a better estimate than the left endpoint rectangle and the right endpoint rectangle?</w:t>
      </w:r>
    </w:p>
    <w:p w:rsidR="00352C1E" w:rsidRDefault="00352C1E" w:rsidP="00352C1E">
      <w:pPr>
        <w:rPr>
          <w:rFonts w:cstheme="minorHAnsi"/>
        </w:rPr>
      </w:pPr>
    </w:p>
    <w:p w:rsidR="00352C1E" w:rsidRPr="00735437" w:rsidRDefault="00C40A1B" w:rsidP="00352C1E">
      <w:pPr>
        <w:rPr>
          <w:rFonts w:cstheme="minorHAnsi"/>
          <w:b/>
        </w:rPr>
      </w:pPr>
      <w:r w:rsidRPr="00735437">
        <w:rPr>
          <w:rFonts w:cstheme="minorHAnsi"/>
          <w:b/>
        </w:rPr>
        <w:t>Pages 4.1 and 5.1</w:t>
      </w:r>
    </w:p>
    <w:p w:rsidR="00C40A1B" w:rsidRDefault="0058020F" w:rsidP="00DD4FDD">
      <w:pPr>
        <w:pStyle w:val="ListParagraph"/>
        <w:numPr>
          <w:ilvl w:val="0"/>
          <w:numId w:val="8"/>
        </w:numPr>
        <w:ind w:left="450" w:hanging="90"/>
        <w:rPr>
          <w:rFonts w:cstheme="minorHAnsi"/>
        </w:rPr>
      </w:pPr>
      <w:r>
        <w:rPr>
          <w:rFonts w:cstheme="minorHAnsi"/>
        </w:rPr>
        <w:t xml:space="preserve">Use the slider to view the estimates of the shaded are under the curve, on both pages.  Use your observations from Pages 2.1-5.1 to </w:t>
      </w:r>
      <w:r w:rsidR="00B452E8">
        <w:rPr>
          <w:rFonts w:cstheme="minorHAnsi"/>
        </w:rPr>
        <w:t xml:space="preserve">explain when a left endpoint rectangle is an underestimate or overestimate, when a right rectangle is an underestimate or overestimate, and when a trapezoid is an underestimate or overestimate.  </w:t>
      </w:r>
    </w:p>
    <w:p w:rsidR="00B452E8" w:rsidRPr="00735437" w:rsidRDefault="00B452E8" w:rsidP="00DD4FDD">
      <w:pPr>
        <w:pStyle w:val="ListParagraph"/>
        <w:numPr>
          <w:ilvl w:val="0"/>
          <w:numId w:val="8"/>
        </w:numPr>
        <w:ind w:left="450" w:hanging="90"/>
        <w:rPr>
          <w:rFonts w:cstheme="minorHAnsi"/>
        </w:rPr>
      </w:pPr>
      <w:r>
        <w:rPr>
          <w:rFonts w:cstheme="minorHAnsi"/>
        </w:rPr>
        <w:t>Will a left rectangle ever provide the exact area under the curve?  If so, how?  If not, why not?  Answer these same questions for a right rectangle and for a trapezoid.</w:t>
      </w:r>
    </w:p>
    <w:p w:rsidR="00F76BBF" w:rsidRPr="00F76BBF" w:rsidRDefault="00F76BBF">
      <w:pPr>
        <w:rPr>
          <w:rFonts w:cstheme="minorHAnsi"/>
        </w:rPr>
      </w:pPr>
    </w:p>
    <w:p w:rsidR="00F76BBF" w:rsidRPr="00380FDA" w:rsidRDefault="00380FDA">
      <w:pPr>
        <w:rPr>
          <w:rFonts w:cstheme="minorHAnsi"/>
          <w:b/>
        </w:rPr>
      </w:pPr>
      <w:r w:rsidRPr="00380FDA">
        <w:rPr>
          <w:rFonts w:cstheme="minorHAnsi"/>
          <w:b/>
        </w:rPr>
        <w:t>Page 6.1</w:t>
      </w:r>
    </w:p>
    <w:p w:rsidR="00380FDA" w:rsidRDefault="00380FDA" w:rsidP="008D7ABF">
      <w:pPr>
        <w:pStyle w:val="ListParagraph"/>
        <w:numPr>
          <w:ilvl w:val="0"/>
          <w:numId w:val="9"/>
        </w:numPr>
        <w:ind w:left="540" w:hanging="180"/>
        <w:rPr>
          <w:rFonts w:cstheme="minorHAnsi"/>
        </w:rPr>
      </w:pPr>
      <w:r>
        <w:rPr>
          <w:rFonts w:cstheme="minorHAnsi"/>
        </w:rPr>
        <w:t>Use the slider to view the exact are under the curve, the point on the curve use to construct the midpoint rectangle, and the midpoint rectangle.  In your own words, explain how a midpoint rectangle is constructed.  Why is it difficult to determine whether the area of a midpoint rectangle is an overestimate or underestimate?</w:t>
      </w:r>
    </w:p>
    <w:p w:rsidR="00380FDA" w:rsidRDefault="003304BA" w:rsidP="008D7ABF">
      <w:pPr>
        <w:pStyle w:val="ListParagraph"/>
        <w:numPr>
          <w:ilvl w:val="0"/>
          <w:numId w:val="9"/>
        </w:numPr>
        <w:ind w:left="540" w:hanging="180"/>
        <w:rPr>
          <w:rFonts w:cstheme="minorHAnsi"/>
        </w:rPr>
      </w:pPr>
      <w:r>
        <w:rPr>
          <w:rFonts w:cstheme="minorHAnsi"/>
        </w:rPr>
        <w:t>Use the slider to select pivot.  Click on pivot several times.</w:t>
      </w:r>
    </w:p>
    <w:p w:rsidR="003304BA" w:rsidRDefault="003304BA" w:rsidP="008D7ABF">
      <w:pPr>
        <w:pStyle w:val="ListParagraph"/>
        <w:numPr>
          <w:ilvl w:val="0"/>
          <w:numId w:val="10"/>
        </w:numPr>
        <w:rPr>
          <w:rFonts w:cstheme="minorHAnsi"/>
        </w:rPr>
      </w:pPr>
      <w:r>
        <w:rPr>
          <w:rFonts w:cstheme="minorHAnsi"/>
        </w:rPr>
        <w:t>Explain how the midpoint rectangle changes.</w:t>
      </w:r>
    </w:p>
    <w:p w:rsidR="003304BA" w:rsidRDefault="003304BA" w:rsidP="008D7ABF">
      <w:pPr>
        <w:pStyle w:val="ListParagraph"/>
        <w:numPr>
          <w:ilvl w:val="0"/>
          <w:numId w:val="10"/>
        </w:numPr>
        <w:rPr>
          <w:rFonts w:cstheme="minorHAnsi"/>
        </w:rPr>
      </w:pPr>
      <w:r>
        <w:rPr>
          <w:rFonts w:cstheme="minorHAnsi"/>
        </w:rPr>
        <w:t>As the top segment of the midpoint rectangle pivots, or rotates, how does the shaded area compare to the original midpoint rectangle?  Justify your answer.</w:t>
      </w:r>
    </w:p>
    <w:p w:rsidR="003304BA" w:rsidRDefault="001B1F23" w:rsidP="008D7ABF">
      <w:pPr>
        <w:pStyle w:val="ListParagraph"/>
        <w:numPr>
          <w:ilvl w:val="0"/>
          <w:numId w:val="10"/>
        </w:numPr>
        <w:rPr>
          <w:rFonts w:cstheme="minorHAnsi"/>
        </w:rPr>
      </w:pPr>
      <w:r>
        <w:rPr>
          <w:rFonts w:cstheme="minorHAnsi"/>
        </w:rPr>
        <w:t>Once the segment i</w:t>
      </w:r>
      <w:r w:rsidR="00354DE5">
        <w:rPr>
          <w:rFonts w:cstheme="minorHAnsi"/>
        </w:rPr>
        <w:t>s done pivoting, a dashed line appears.  What does the dashed line represent?</w:t>
      </w:r>
    </w:p>
    <w:p w:rsidR="00354DE5" w:rsidRPr="008D7ABF" w:rsidRDefault="008D7ABF" w:rsidP="008D7ABF">
      <w:pPr>
        <w:pStyle w:val="ListParagraph"/>
        <w:numPr>
          <w:ilvl w:val="0"/>
          <w:numId w:val="10"/>
        </w:numPr>
        <w:rPr>
          <w:rFonts w:cstheme="minorHAnsi"/>
        </w:rPr>
      </w:pPr>
      <w:r w:rsidRPr="008D7ABF">
        <w:rPr>
          <w:rFonts w:cstheme="minorHAnsi"/>
        </w:rPr>
        <w:t>I</w:t>
      </w:r>
      <w:r w:rsidR="00354DE5" w:rsidRPr="008D7ABF">
        <w:rPr>
          <w:rFonts w:cstheme="minorHAnsi"/>
        </w:rPr>
        <w:t xml:space="preserve">s the area of the midpoint rectangle an overestimate or an underestimate?  Explain your reasoning.  </w:t>
      </w:r>
    </w:p>
    <w:p w:rsidR="00354DE5" w:rsidRPr="008D7ABF" w:rsidRDefault="00354DE5" w:rsidP="008D7ABF">
      <w:pPr>
        <w:pStyle w:val="ListParagraph"/>
        <w:numPr>
          <w:ilvl w:val="0"/>
          <w:numId w:val="9"/>
        </w:numPr>
        <w:ind w:left="450" w:hanging="90"/>
        <w:rPr>
          <w:rFonts w:cstheme="minorHAnsi"/>
        </w:rPr>
      </w:pPr>
      <w:r w:rsidRPr="008D7ABF">
        <w:rPr>
          <w:rFonts w:cstheme="minorHAnsi"/>
        </w:rPr>
        <w:lastRenderedPageBreak/>
        <w:t>In this case, which approach provides a more accurate estimate of the exact area under the curve: a midpoint rectangle or a trapezoid?  Explain your reasoning.</w:t>
      </w:r>
    </w:p>
    <w:p w:rsidR="00354DE5" w:rsidRPr="007D0453" w:rsidRDefault="007D0453" w:rsidP="00354DE5">
      <w:pPr>
        <w:rPr>
          <w:rFonts w:cstheme="minorHAnsi"/>
          <w:b/>
        </w:rPr>
      </w:pPr>
      <w:r w:rsidRPr="007D0453">
        <w:rPr>
          <w:rFonts w:cstheme="minorHAnsi"/>
          <w:b/>
        </w:rPr>
        <w:t>Pages 7.1, 8.1, and 9.1</w:t>
      </w:r>
    </w:p>
    <w:p w:rsidR="007D0453" w:rsidRPr="00766954" w:rsidRDefault="007D0453" w:rsidP="00766954">
      <w:pPr>
        <w:pStyle w:val="ListParagraph"/>
        <w:numPr>
          <w:ilvl w:val="0"/>
          <w:numId w:val="13"/>
        </w:numPr>
        <w:ind w:left="450" w:hanging="90"/>
        <w:rPr>
          <w:rFonts w:cstheme="minorHAnsi"/>
        </w:rPr>
      </w:pPr>
      <w:r w:rsidRPr="00766954">
        <w:rPr>
          <w:rFonts w:cstheme="minorHAnsi"/>
        </w:rPr>
        <w:t xml:space="preserve">The functions presented on these pages are all nonnegative (over the subinterval considered), but </w:t>
      </w:r>
      <w:r w:rsidR="00C15EFD" w:rsidRPr="00766954">
        <w:rPr>
          <w:rFonts w:cstheme="minorHAnsi"/>
        </w:rPr>
        <w:t>may be increasing or decreasing, and may be concave up or concave down.  Observe the estimates in each case and use your results from pages 3.1-9.1 to determine whether each approximation (</w:t>
      </w:r>
      <w:r w:rsidR="00E04318" w:rsidRPr="00E579F7">
        <w:rPr>
          <w:noProof/>
        </w:rPr>
        <w:object w:dxaOrig="120" w:dyaOrig="160">
          <v:shape id="_x0000_i1061" type="#_x0000_t75" alt="" style="width:6pt;height:8pt;mso-width-percent:0;mso-height-percent:0;mso-width-percent:0;mso-height-percent:0" o:ole="">
            <v:imagedata r:id="rId89" o:title=""/>
          </v:shape>
          <o:OLEObject Type="Embed" ProgID="Equation.DSMT4" ShapeID="_x0000_i1061" DrawAspect="Content" ObjectID="_1727522170" r:id="rId90"/>
        </w:object>
      </w:r>
      <w:r w:rsidR="00C15EFD" w:rsidRPr="00766954">
        <w:rPr>
          <w:rFonts w:cstheme="minorHAnsi"/>
        </w:rPr>
        <w:t xml:space="preserve">: left rectangle, </w:t>
      </w:r>
      <w:r w:rsidR="00E04318" w:rsidRPr="00E579F7">
        <w:rPr>
          <w:noProof/>
        </w:rPr>
        <w:object w:dxaOrig="139" w:dyaOrig="160">
          <v:shape id="_x0000_i1062" type="#_x0000_t75" alt="" style="width:7pt;height:8pt;mso-width-percent:0;mso-height-percent:0;mso-width-percent:0;mso-height-percent:0" o:ole="">
            <v:imagedata r:id="rId91" o:title=""/>
          </v:shape>
          <o:OLEObject Type="Embed" ProgID="Equation.DSMT4" ShapeID="_x0000_i1062" DrawAspect="Content" ObjectID="_1727522171" r:id="rId92"/>
        </w:object>
      </w:r>
      <w:r w:rsidR="00C15EFD" w:rsidRPr="00766954">
        <w:rPr>
          <w:rFonts w:cstheme="minorHAnsi"/>
        </w:rPr>
        <w:t xml:space="preserve">: right rectangle, </w:t>
      </w:r>
      <w:r w:rsidR="00E04318" w:rsidRPr="00E579F7">
        <w:rPr>
          <w:noProof/>
        </w:rPr>
        <w:object w:dxaOrig="220" w:dyaOrig="160">
          <v:shape id="_x0000_i1063" type="#_x0000_t75" alt="" style="width:11pt;height:8pt;mso-width-percent:0;mso-height-percent:0;mso-width-percent:0;mso-height-percent:0" o:ole="">
            <v:imagedata r:id="rId93" o:title=""/>
          </v:shape>
          <o:OLEObject Type="Embed" ProgID="Equation.DSMT4" ShapeID="_x0000_i1063" DrawAspect="Content" ObjectID="_1727522172" r:id="rId94"/>
        </w:object>
      </w:r>
      <w:r w:rsidR="00C15EFD" w:rsidRPr="00766954">
        <w:rPr>
          <w:rFonts w:cstheme="minorHAnsi"/>
        </w:rPr>
        <w:t xml:space="preserve">: midpoint rectangle, </w:t>
      </w:r>
      <w:r w:rsidR="00E04318" w:rsidRPr="00E579F7">
        <w:rPr>
          <w:noProof/>
        </w:rPr>
        <w:object w:dxaOrig="139" w:dyaOrig="160">
          <v:shape id="_x0000_i1064" type="#_x0000_t75" alt="" style="width:7pt;height:8pt;mso-width-percent:0;mso-height-percent:0;mso-width-percent:0;mso-height-percent:0" o:ole="">
            <v:imagedata r:id="rId95" o:title=""/>
          </v:shape>
          <o:OLEObject Type="Embed" ProgID="Equation.DSMT4" ShapeID="_x0000_i1064" DrawAspect="Content" ObjectID="_1727522173" r:id="rId96"/>
        </w:object>
      </w:r>
      <w:r w:rsidR="00C15EFD" w:rsidRPr="00766954">
        <w:rPr>
          <w:rFonts w:cstheme="minorHAnsi"/>
        </w:rPr>
        <w:t>: trapezoid) to the exact area under the curve is an underestimate or overestimate.</w:t>
      </w:r>
    </w:p>
    <w:p w:rsidR="00C15EFD" w:rsidRPr="00766954" w:rsidRDefault="00766954" w:rsidP="00766954">
      <w:pPr>
        <w:pStyle w:val="ListParagraph"/>
        <w:numPr>
          <w:ilvl w:val="0"/>
          <w:numId w:val="12"/>
        </w:numPr>
        <w:ind w:left="810" w:hanging="90"/>
        <w:rPr>
          <w:rFonts w:cstheme="minorHAnsi"/>
        </w:rPr>
      </w:pPr>
      <w:r w:rsidRPr="00766954">
        <w:rPr>
          <w:rFonts w:cstheme="minorHAnsi"/>
        </w:rPr>
        <w:t>The function is nonnegative, increasing, and concave up.</w:t>
      </w:r>
    </w:p>
    <w:p w:rsidR="00766954" w:rsidRDefault="00766954" w:rsidP="00766954">
      <w:pPr>
        <w:pStyle w:val="ListParagraph"/>
        <w:numPr>
          <w:ilvl w:val="0"/>
          <w:numId w:val="12"/>
        </w:numPr>
        <w:ind w:left="810" w:hanging="90"/>
        <w:rPr>
          <w:rFonts w:cstheme="minorHAnsi"/>
        </w:rPr>
      </w:pPr>
      <w:r>
        <w:rPr>
          <w:rFonts w:cstheme="minorHAnsi"/>
        </w:rPr>
        <w:t>The function is nonnegative, decreasing, and concave up.</w:t>
      </w:r>
    </w:p>
    <w:p w:rsidR="00766954" w:rsidRDefault="00766954" w:rsidP="00766954">
      <w:pPr>
        <w:pStyle w:val="ListParagraph"/>
        <w:numPr>
          <w:ilvl w:val="0"/>
          <w:numId w:val="12"/>
        </w:numPr>
        <w:ind w:left="810" w:hanging="90"/>
        <w:rPr>
          <w:rFonts w:cstheme="minorHAnsi"/>
        </w:rPr>
      </w:pPr>
      <w:r>
        <w:rPr>
          <w:rFonts w:cstheme="minorHAnsi"/>
        </w:rPr>
        <w:t>The function is nonnegative, increasing, and concave down.</w:t>
      </w:r>
    </w:p>
    <w:p w:rsidR="00766954" w:rsidRDefault="00766954" w:rsidP="00766954">
      <w:pPr>
        <w:pStyle w:val="ListParagraph"/>
        <w:numPr>
          <w:ilvl w:val="0"/>
          <w:numId w:val="12"/>
        </w:numPr>
        <w:ind w:left="810" w:hanging="90"/>
        <w:rPr>
          <w:rFonts w:cstheme="minorHAnsi"/>
        </w:rPr>
      </w:pPr>
      <w:r>
        <w:rPr>
          <w:rFonts w:cstheme="minorHAnsi"/>
        </w:rPr>
        <w:t>The function is nonnegative, decreasing and concave down.</w:t>
      </w:r>
    </w:p>
    <w:p w:rsidR="00766954" w:rsidRPr="00766954" w:rsidRDefault="00766954" w:rsidP="002846E1">
      <w:pPr>
        <w:pStyle w:val="ListParagraph"/>
        <w:numPr>
          <w:ilvl w:val="0"/>
          <w:numId w:val="17"/>
        </w:numPr>
        <w:ind w:left="450" w:hanging="90"/>
        <w:rPr>
          <w:rFonts w:cstheme="minorHAnsi"/>
        </w:rPr>
      </w:pPr>
      <w:r w:rsidRPr="00766954">
        <w:rPr>
          <w:rFonts w:cstheme="minorHAnsi"/>
        </w:rPr>
        <w:t>How do you</w:t>
      </w:r>
      <w:r w:rsidR="002846E1">
        <w:rPr>
          <w:rFonts w:cstheme="minorHAnsi"/>
        </w:rPr>
        <w:t>r</w:t>
      </w:r>
      <w:r w:rsidRPr="00766954">
        <w:rPr>
          <w:rFonts w:cstheme="minorHAnsi"/>
        </w:rPr>
        <w:t xml:space="preserve"> answers in Problem 1 change if </w:t>
      </w:r>
      <w:r w:rsidRPr="00766954">
        <w:rPr>
          <w:rFonts w:cstheme="minorHAnsi"/>
          <w:i/>
        </w:rPr>
        <w:t>nonnegative</w:t>
      </w:r>
      <w:r w:rsidRPr="00766954">
        <w:rPr>
          <w:rFonts w:cstheme="minorHAnsi"/>
        </w:rPr>
        <w:t xml:space="preserve"> is replaced by </w:t>
      </w:r>
      <w:r w:rsidRPr="00766954">
        <w:rPr>
          <w:rFonts w:cstheme="minorHAnsi"/>
          <w:i/>
        </w:rPr>
        <w:t>negative</w:t>
      </w:r>
      <w:r w:rsidRPr="00766954">
        <w:rPr>
          <w:rFonts w:cstheme="minorHAnsi"/>
        </w:rPr>
        <w:t>?  Explain.</w:t>
      </w:r>
    </w:p>
    <w:p w:rsidR="00F76BBF" w:rsidRPr="00F76BBF" w:rsidRDefault="00F76BBF">
      <w:pPr>
        <w:rPr>
          <w:rFonts w:cstheme="minorHAnsi"/>
        </w:rPr>
      </w:pPr>
    </w:p>
    <w:p w:rsidR="00DA2B7C" w:rsidRDefault="002846E1">
      <w:pPr>
        <w:rPr>
          <w:rFonts w:cstheme="minorHAnsi"/>
        </w:rPr>
      </w:pPr>
      <w:r>
        <w:rPr>
          <w:rFonts w:cstheme="minorHAnsi"/>
        </w:rPr>
        <w:t>In the next Problems, use your observations about a single subinterval to draw conclusions about the relationship among left, right, midpoint, and trapezoidal sums.</w:t>
      </w:r>
    </w:p>
    <w:p w:rsidR="002846E1" w:rsidRDefault="002846E1">
      <w:pPr>
        <w:rPr>
          <w:rFonts w:cstheme="minorHAnsi"/>
        </w:rPr>
      </w:pPr>
    </w:p>
    <w:p w:rsidR="002846E1" w:rsidRDefault="002846E1" w:rsidP="002846E1">
      <w:pPr>
        <w:pStyle w:val="ListParagraph"/>
        <w:numPr>
          <w:ilvl w:val="0"/>
          <w:numId w:val="21"/>
        </w:numPr>
        <w:ind w:left="450" w:hanging="90"/>
        <w:rPr>
          <w:rFonts w:cstheme="minorHAnsi"/>
        </w:rPr>
      </w:pPr>
      <w:r>
        <w:rPr>
          <w:rFonts w:cstheme="minorHAnsi"/>
        </w:rPr>
        <w:t xml:space="preserve">Suppose the function </w:t>
      </w:r>
      <w:r w:rsidR="00E04318" w:rsidRPr="00E579F7">
        <w:rPr>
          <w:noProof/>
          <w:position w:val="-6"/>
        </w:rPr>
        <w:object w:dxaOrig="160" w:dyaOrig="220">
          <v:shape id="_x0000_i1065" type="#_x0000_t75" alt="" style="width:8pt;height:11pt;mso-width-percent:0;mso-height-percent:0;mso-width-percent:0;mso-height-percent:0" o:ole="">
            <v:imagedata r:id="rId97" o:title=""/>
          </v:shape>
          <o:OLEObject Type="Embed" ProgID="Equation.DSMT4" ShapeID="_x0000_i1065" DrawAspect="Content" ObjectID="_1727522174" r:id="rId98"/>
        </w:object>
      </w:r>
      <w:r>
        <w:rPr>
          <w:rFonts w:cstheme="minorHAnsi"/>
        </w:rPr>
        <w:t xml:space="preserve"> is positive, continuous, increasing, and concave up on an interval </w:t>
      </w:r>
      <w:r w:rsidR="00E04318" w:rsidRPr="00E579F7">
        <w:rPr>
          <w:noProof/>
          <w:position w:val="-6"/>
        </w:rPr>
        <w:object w:dxaOrig="420" w:dyaOrig="220">
          <v:shape id="_x0000_i1066" type="#_x0000_t75" alt="" style="width:21pt;height:11pt;mso-width-percent:0;mso-height-percent:0;mso-width-percent:0;mso-height-percent:0" o:ole="">
            <v:imagedata r:id="rId99" o:title=""/>
          </v:shape>
          <o:OLEObject Type="Embed" ProgID="Equation.DSMT4" ShapeID="_x0000_i1066" DrawAspect="Content" ObjectID="_1727522175" r:id="rId100"/>
        </w:object>
      </w:r>
      <w:r>
        <w:rPr>
          <w:rFonts w:cstheme="minorHAnsi"/>
        </w:rPr>
        <w:t>.  Determine whether the inequality is true.  Justify you answers.</w:t>
      </w:r>
    </w:p>
    <w:p w:rsidR="002846E1" w:rsidRDefault="00E04318" w:rsidP="0075759F">
      <w:pPr>
        <w:pStyle w:val="ListParagraph"/>
        <w:numPr>
          <w:ilvl w:val="1"/>
          <w:numId w:val="22"/>
        </w:numPr>
        <w:ind w:left="810" w:hanging="90"/>
        <w:rPr>
          <w:rFonts w:cstheme="minorHAnsi"/>
        </w:rPr>
      </w:pPr>
      <w:r w:rsidRPr="00E579F7">
        <w:rPr>
          <w:noProof/>
          <w:position w:val="-6"/>
        </w:rPr>
        <w:object w:dxaOrig="1300" w:dyaOrig="240">
          <v:shape id="_x0000_i1067" type="#_x0000_t75" alt="" style="width:65pt;height:12pt;mso-width-percent:0;mso-height-percent:0;mso-width-percent:0;mso-height-percent:0" o:ole="">
            <v:imagedata r:id="rId101" o:title=""/>
          </v:shape>
          <o:OLEObject Type="Embed" ProgID="Equation.DSMT4" ShapeID="_x0000_i1067" DrawAspect="Content" ObjectID="_1727522176" r:id="rId102"/>
        </w:object>
      </w:r>
    </w:p>
    <w:p w:rsidR="002846E1" w:rsidRDefault="00E04318" w:rsidP="0075759F">
      <w:pPr>
        <w:pStyle w:val="ListParagraph"/>
        <w:numPr>
          <w:ilvl w:val="1"/>
          <w:numId w:val="22"/>
        </w:numPr>
        <w:ind w:left="810" w:hanging="90"/>
        <w:rPr>
          <w:rFonts w:cstheme="minorHAnsi"/>
        </w:rPr>
      </w:pPr>
      <w:r w:rsidRPr="00E579F7">
        <w:rPr>
          <w:noProof/>
          <w:position w:val="-6"/>
        </w:rPr>
        <w:object w:dxaOrig="1260" w:dyaOrig="240">
          <v:shape id="_x0000_i1068" type="#_x0000_t75" alt="" style="width:63pt;height:12pt;mso-width-percent:0;mso-height-percent:0;mso-width-percent:0;mso-height-percent:0" o:ole="">
            <v:imagedata r:id="rId103" o:title=""/>
          </v:shape>
          <o:OLEObject Type="Embed" ProgID="Equation.DSMT4" ShapeID="_x0000_i1068" DrawAspect="Content" ObjectID="_1727522177" r:id="rId104"/>
        </w:object>
      </w:r>
    </w:p>
    <w:p w:rsidR="002846E1" w:rsidRDefault="00E04318" w:rsidP="0075759F">
      <w:pPr>
        <w:pStyle w:val="ListParagraph"/>
        <w:numPr>
          <w:ilvl w:val="1"/>
          <w:numId w:val="22"/>
        </w:numPr>
        <w:ind w:left="810" w:hanging="90"/>
        <w:rPr>
          <w:rFonts w:cstheme="minorHAnsi"/>
        </w:rPr>
      </w:pPr>
      <w:r w:rsidRPr="00E579F7">
        <w:rPr>
          <w:noProof/>
          <w:position w:val="-14"/>
        </w:rPr>
        <w:object w:dxaOrig="1340" w:dyaOrig="460">
          <v:shape id="_x0000_i1069" type="#_x0000_t75" alt="" style="width:67pt;height:23pt;mso-width-percent:0;mso-height-percent:0;mso-width-percent:0;mso-height-percent:0" o:ole="">
            <v:imagedata r:id="rId105" o:title=""/>
          </v:shape>
          <o:OLEObject Type="Embed" ProgID="Equation.DSMT4" ShapeID="_x0000_i1069" DrawAspect="Content" ObjectID="_1727522178" r:id="rId106"/>
        </w:object>
      </w:r>
    </w:p>
    <w:p w:rsidR="002846E1" w:rsidRPr="00306B14" w:rsidRDefault="00E04318" w:rsidP="0075759F">
      <w:pPr>
        <w:pStyle w:val="ListParagraph"/>
        <w:numPr>
          <w:ilvl w:val="1"/>
          <w:numId w:val="22"/>
        </w:numPr>
        <w:ind w:left="810" w:hanging="90"/>
        <w:rPr>
          <w:rFonts w:cstheme="minorHAnsi"/>
        </w:rPr>
      </w:pPr>
      <w:r w:rsidRPr="00E579F7">
        <w:rPr>
          <w:noProof/>
          <w:position w:val="-6"/>
        </w:rPr>
        <w:object w:dxaOrig="780" w:dyaOrig="240">
          <v:shape id="_x0000_i1070" type="#_x0000_t75" alt="" style="width:39pt;height:12pt;mso-width-percent:0;mso-height-percent:0;mso-width-percent:0;mso-height-percent:0" o:ole="">
            <v:imagedata r:id="rId107" o:title=""/>
          </v:shape>
          <o:OLEObject Type="Embed" ProgID="Equation.DSMT4" ShapeID="_x0000_i1070" DrawAspect="Content" ObjectID="_1727522179" r:id="rId108"/>
        </w:object>
      </w:r>
    </w:p>
    <w:p w:rsidR="00306B14" w:rsidRPr="002846E1" w:rsidRDefault="00306B14" w:rsidP="00306B14">
      <w:pPr>
        <w:pStyle w:val="ListParagraph"/>
        <w:ind w:left="810"/>
        <w:rPr>
          <w:rFonts w:cstheme="minorHAnsi"/>
        </w:rPr>
      </w:pPr>
    </w:p>
    <w:p w:rsidR="002846E1" w:rsidRDefault="002846E1" w:rsidP="0075759F">
      <w:pPr>
        <w:pStyle w:val="ListParagraph"/>
        <w:numPr>
          <w:ilvl w:val="0"/>
          <w:numId w:val="21"/>
        </w:numPr>
        <w:ind w:left="450" w:hanging="90"/>
        <w:rPr>
          <w:rFonts w:cstheme="minorHAnsi"/>
        </w:rPr>
      </w:pPr>
      <w:r>
        <w:rPr>
          <w:rFonts w:cstheme="minorHAnsi"/>
        </w:rPr>
        <w:t xml:space="preserve">Suppose the function </w:t>
      </w:r>
      <w:r w:rsidR="00E04318" w:rsidRPr="00E579F7">
        <w:rPr>
          <w:noProof/>
          <w:position w:val="-6"/>
        </w:rPr>
        <w:object w:dxaOrig="160" w:dyaOrig="220">
          <v:shape id="_x0000_i1071" type="#_x0000_t75" alt="" style="width:8pt;height:11pt;mso-width-percent:0;mso-height-percent:0;mso-width-percent:0;mso-height-percent:0" o:ole="">
            <v:imagedata r:id="rId109" o:title=""/>
          </v:shape>
          <o:OLEObject Type="Embed" ProgID="Equation.DSMT4" ShapeID="_x0000_i1071" DrawAspect="Content" ObjectID="_1727522180" r:id="rId110"/>
        </w:object>
      </w:r>
      <w:r>
        <w:rPr>
          <w:rFonts w:cstheme="minorHAnsi"/>
        </w:rPr>
        <w:t xml:space="preserve"> is positive, continuous, decreasing, and concave down on an interval </w:t>
      </w:r>
      <w:r w:rsidR="00E04318" w:rsidRPr="00E579F7">
        <w:rPr>
          <w:noProof/>
          <w:position w:val="-6"/>
        </w:rPr>
        <w:object w:dxaOrig="420" w:dyaOrig="220">
          <v:shape id="_x0000_i1072" type="#_x0000_t75" alt="" style="width:21pt;height:11pt;mso-width-percent:0;mso-height-percent:0;mso-width-percent:0;mso-height-percent:0" o:ole="">
            <v:imagedata r:id="rId111" o:title=""/>
          </v:shape>
          <o:OLEObject Type="Embed" ProgID="Equation.DSMT4" ShapeID="_x0000_i1072" DrawAspect="Content" ObjectID="_1727522181" r:id="rId112"/>
        </w:object>
      </w:r>
      <w:r>
        <w:rPr>
          <w:rFonts w:cstheme="minorHAnsi"/>
        </w:rPr>
        <w:t>.  Determine whether the inequality is true.  Justify you answers.</w:t>
      </w:r>
    </w:p>
    <w:p w:rsidR="002846E1" w:rsidRDefault="00E04318" w:rsidP="0075759F">
      <w:pPr>
        <w:pStyle w:val="ListParagraph"/>
        <w:numPr>
          <w:ilvl w:val="1"/>
          <w:numId w:val="24"/>
        </w:numPr>
        <w:ind w:left="810" w:hanging="90"/>
        <w:rPr>
          <w:rFonts w:cstheme="minorHAnsi"/>
        </w:rPr>
      </w:pPr>
      <w:r w:rsidRPr="00E579F7">
        <w:rPr>
          <w:noProof/>
          <w:position w:val="-6"/>
        </w:rPr>
        <w:object w:dxaOrig="1760" w:dyaOrig="240">
          <v:shape id="_x0000_i1073" type="#_x0000_t75" alt="" style="width:88pt;height:12pt;mso-width-percent:0;mso-height-percent:0;mso-width-percent:0;mso-height-percent:0" o:ole="">
            <v:imagedata r:id="rId113" o:title=""/>
          </v:shape>
          <o:OLEObject Type="Embed" ProgID="Equation.DSMT4" ShapeID="_x0000_i1073" DrawAspect="Content" ObjectID="_1727522182" r:id="rId114"/>
        </w:object>
      </w:r>
    </w:p>
    <w:p w:rsidR="002846E1" w:rsidRDefault="00E04318" w:rsidP="0075759F">
      <w:pPr>
        <w:pStyle w:val="ListParagraph"/>
        <w:numPr>
          <w:ilvl w:val="1"/>
          <w:numId w:val="24"/>
        </w:numPr>
        <w:ind w:left="810" w:hanging="90"/>
        <w:rPr>
          <w:rFonts w:cstheme="minorHAnsi"/>
        </w:rPr>
      </w:pPr>
      <w:r w:rsidRPr="00E579F7">
        <w:rPr>
          <w:noProof/>
          <w:position w:val="-6"/>
        </w:rPr>
        <w:object w:dxaOrig="1760" w:dyaOrig="240">
          <v:shape id="_x0000_i1074" type="#_x0000_t75" alt="" style="width:88pt;height:12pt;mso-width-percent:0;mso-height-percent:0;mso-width-percent:0;mso-height-percent:0" o:ole="">
            <v:imagedata r:id="rId115" o:title=""/>
          </v:shape>
          <o:OLEObject Type="Embed" ProgID="Equation.DSMT4" ShapeID="_x0000_i1074" DrawAspect="Content" ObjectID="_1727522183" r:id="rId116"/>
        </w:object>
      </w:r>
    </w:p>
    <w:p w:rsidR="002846E1" w:rsidRDefault="00E04318" w:rsidP="0075759F">
      <w:pPr>
        <w:pStyle w:val="ListParagraph"/>
        <w:numPr>
          <w:ilvl w:val="1"/>
          <w:numId w:val="24"/>
        </w:numPr>
        <w:ind w:left="810" w:hanging="90"/>
        <w:rPr>
          <w:rFonts w:cstheme="minorHAnsi"/>
        </w:rPr>
      </w:pPr>
      <w:r w:rsidRPr="00E579F7">
        <w:rPr>
          <w:noProof/>
          <w:position w:val="-6"/>
        </w:rPr>
        <w:object w:dxaOrig="1760" w:dyaOrig="240">
          <v:shape id="_x0000_i1075" type="#_x0000_t75" alt="" style="width:88pt;height:12pt;mso-width-percent:0;mso-height-percent:0;mso-width-percent:0;mso-height-percent:0" o:ole="">
            <v:imagedata r:id="rId117" o:title=""/>
          </v:shape>
          <o:OLEObject Type="Embed" ProgID="Equation.DSMT4" ShapeID="_x0000_i1075" DrawAspect="Content" ObjectID="_1727522184" r:id="rId118"/>
        </w:object>
      </w:r>
    </w:p>
    <w:p w:rsidR="002846E1" w:rsidRPr="00306B14" w:rsidRDefault="00E04318" w:rsidP="0075759F">
      <w:pPr>
        <w:pStyle w:val="ListParagraph"/>
        <w:numPr>
          <w:ilvl w:val="1"/>
          <w:numId w:val="24"/>
        </w:numPr>
        <w:ind w:left="810" w:hanging="90"/>
        <w:rPr>
          <w:rFonts w:cstheme="minorHAnsi"/>
        </w:rPr>
      </w:pPr>
      <w:r w:rsidRPr="00E579F7">
        <w:rPr>
          <w:noProof/>
          <w:position w:val="-6"/>
        </w:rPr>
        <w:object w:dxaOrig="1760" w:dyaOrig="240">
          <v:shape id="_x0000_i1076" type="#_x0000_t75" alt="" style="width:88pt;height:12pt;mso-width-percent:0;mso-height-percent:0;mso-width-percent:0;mso-height-percent:0" o:ole="">
            <v:imagedata r:id="rId119" o:title=""/>
          </v:shape>
          <o:OLEObject Type="Embed" ProgID="Equation.DSMT4" ShapeID="_x0000_i1076" DrawAspect="Content" ObjectID="_1727522185" r:id="rId120"/>
        </w:object>
      </w:r>
    </w:p>
    <w:p w:rsidR="00306B14" w:rsidRDefault="00306B14" w:rsidP="00306B14">
      <w:pPr>
        <w:pStyle w:val="ListParagraph"/>
        <w:ind w:left="810"/>
        <w:rPr>
          <w:rFonts w:cstheme="minorHAnsi"/>
        </w:rPr>
      </w:pPr>
      <w:bookmarkStart w:id="0" w:name="_GoBack"/>
      <w:bookmarkEnd w:id="0"/>
    </w:p>
    <w:p w:rsidR="002846E1" w:rsidRPr="00D5683B" w:rsidRDefault="00D5683B" w:rsidP="00D5683B">
      <w:pPr>
        <w:pStyle w:val="ListParagraph"/>
        <w:numPr>
          <w:ilvl w:val="0"/>
          <w:numId w:val="21"/>
        </w:numPr>
        <w:ind w:left="450" w:hanging="90"/>
        <w:rPr>
          <w:rFonts w:cstheme="minorHAnsi"/>
        </w:rPr>
      </w:pPr>
      <w:r w:rsidRPr="00D5683B">
        <w:rPr>
          <w:rFonts w:cstheme="minorHAnsi"/>
        </w:rPr>
        <w:t xml:space="preserve">Let </w:t>
      </w:r>
      <w:bookmarkStart w:id="1" w:name="MTBlankEqn"/>
      <w:r w:rsidR="00E04318" w:rsidRPr="00D5683B">
        <w:rPr>
          <w:noProof/>
        </w:rPr>
        <w:object w:dxaOrig="139" w:dyaOrig="160">
          <v:shape id="_x0000_i1077" type="#_x0000_t75" alt="" style="width:7pt;height:8pt;mso-width-percent:0;mso-height-percent:0;mso-width-percent:0;mso-height-percent:0" o:ole="">
            <v:imagedata r:id="rId121" o:title=""/>
          </v:shape>
          <o:OLEObject Type="Embed" ProgID="Equation.DSMT4" ShapeID="_x0000_i1077" DrawAspect="Content" ObjectID="_1727522186" r:id="rId122"/>
        </w:object>
      </w:r>
      <w:bookmarkEnd w:id="1"/>
      <w:r w:rsidRPr="00D5683B">
        <w:rPr>
          <w:rFonts w:cstheme="minorHAnsi"/>
        </w:rPr>
        <w:t xml:space="preserve"> be the area of the region bounded above by the graph of </w:t>
      </w:r>
      <w:r w:rsidR="00E04318" w:rsidRPr="00D5683B">
        <w:rPr>
          <w:noProof/>
          <w:position w:val="-6"/>
        </w:rPr>
        <w:object w:dxaOrig="680" w:dyaOrig="300">
          <v:shape id="_x0000_i1078" type="#_x0000_t75" alt="" style="width:34pt;height:15pt;mso-width-percent:0;mso-height-percent:0;mso-width-percent:0;mso-height-percent:0" o:ole="">
            <v:imagedata r:id="rId123" o:title=""/>
          </v:shape>
          <o:OLEObject Type="Embed" ProgID="Equation.DSMT4" ShapeID="_x0000_i1078" DrawAspect="Content" ObjectID="_1727522187" r:id="rId124"/>
        </w:object>
      </w:r>
      <w:r w:rsidRPr="00D5683B">
        <w:rPr>
          <w:rFonts w:cstheme="minorHAnsi"/>
        </w:rPr>
        <w:t xml:space="preserve">, below by the </w:t>
      </w:r>
      <w:r w:rsidR="00E04318" w:rsidRPr="00D5683B">
        <w:rPr>
          <w:noProof/>
          <w:position w:val="-2"/>
        </w:rPr>
        <w:object w:dxaOrig="100" w:dyaOrig="120">
          <v:shape id="_x0000_i1079" type="#_x0000_t75" alt="" style="width:5pt;height:6pt;mso-width-percent:0;mso-height-percent:0;mso-width-percent:0;mso-height-percent:0" o:ole="">
            <v:imagedata r:id="rId125" o:title=""/>
          </v:shape>
          <o:OLEObject Type="Embed" ProgID="Equation.DSMT4" ShapeID="_x0000_i1079" DrawAspect="Content" ObjectID="_1727522188" r:id="rId126"/>
        </w:object>
      </w:r>
      <w:r w:rsidRPr="00D5683B">
        <w:rPr>
          <w:rFonts w:cstheme="minorHAnsi"/>
        </w:rPr>
        <w:t xml:space="preserve">-axis, on the left by the line </w:t>
      </w:r>
      <w:r w:rsidR="00E04318" w:rsidRPr="00D5683B">
        <w:rPr>
          <w:noProof/>
          <w:position w:val="-2"/>
        </w:rPr>
        <w:object w:dxaOrig="499" w:dyaOrig="180">
          <v:shape id="_x0000_i1080" type="#_x0000_t75" alt="" style="width:25pt;height:9pt;mso-width-percent:0;mso-height-percent:0;mso-width-percent:0;mso-height-percent:0" o:ole="">
            <v:imagedata r:id="rId127" o:title=""/>
          </v:shape>
          <o:OLEObject Type="Embed" ProgID="Equation.DSMT4" ShapeID="_x0000_i1080" DrawAspect="Content" ObjectID="_1727522189" r:id="rId128"/>
        </w:object>
      </w:r>
      <w:r w:rsidRPr="00D5683B">
        <w:rPr>
          <w:rFonts w:cstheme="minorHAnsi"/>
        </w:rPr>
        <w:t xml:space="preserve">, and on the right by the line </w:t>
      </w:r>
      <w:r w:rsidR="00E04318" w:rsidRPr="00D5683B">
        <w:rPr>
          <w:noProof/>
          <w:position w:val="-2"/>
        </w:rPr>
        <w:object w:dxaOrig="480" w:dyaOrig="180">
          <v:shape id="_x0000_i1081" type="#_x0000_t75" alt="" style="width:24pt;height:9pt;mso-width-percent:0;mso-height-percent:0;mso-width-percent:0;mso-height-percent:0" o:ole="">
            <v:imagedata r:id="rId129" o:title=""/>
          </v:shape>
          <o:OLEObject Type="Embed" ProgID="Equation.DSMT4" ShapeID="_x0000_i1081" DrawAspect="Content" ObjectID="_1727522190" r:id="rId130"/>
        </w:object>
      </w:r>
      <w:r w:rsidRPr="00D5683B">
        <w:rPr>
          <w:rFonts w:cstheme="minorHAnsi"/>
        </w:rPr>
        <w:t>.</w:t>
      </w:r>
    </w:p>
    <w:p w:rsidR="00D5683B" w:rsidRPr="00D5683B" w:rsidRDefault="00D5683B" w:rsidP="00D5683B">
      <w:pPr>
        <w:pStyle w:val="ListParagraph"/>
        <w:numPr>
          <w:ilvl w:val="1"/>
          <w:numId w:val="26"/>
        </w:numPr>
        <w:ind w:left="810" w:hanging="90"/>
        <w:rPr>
          <w:rFonts w:cstheme="minorHAnsi"/>
        </w:rPr>
      </w:pPr>
      <w:r w:rsidRPr="00D5683B">
        <w:rPr>
          <w:rFonts w:cstheme="minorHAnsi"/>
        </w:rPr>
        <w:t xml:space="preserve">List the values </w:t>
      </w:r>
      <w:r w:rsidR="00E04318" w:rsidRPr="00D5683B">
        <w:rPr>
          <w:noProof/>
          <w:position w:val="-6"/>
        </w:rPr>
        <w:object w:dxaOrig="200" w:dyaOrig="240">
          <v:shape id="_x0000_i1082" type="#_x0000_t75" alt="" style="width:10pt;height:12pt;mso-width-percent:0;mso-height-percent:0;mso-width-percent:0;mso-height-percent:0" o:ole="">
            <v:imagedata r:id="rId131" o:title=""/>
          </v:shape>
          <o:OLEObject Type="Embed" ProgID="Equation.DSMT4" ShapeID="_x0000_i1082" DrawAspect="Content" ObjectID="_1727522191" r:id="rId132"/>
        </w:object>
      </w:r>
      <w:r w:rsidRPr="00D5683B">
        <w:rPr>
          <w:rFonts w:cstheme="minorHAnsi"/>
        </w:rPr>
        <w:t xml:space="preserve">, </w:t>
      </w:r>
      <w:r w:rsidR="00E04318" w:rsidRPr="00D5683B">
        <w:rPr>
          <w:noProof/>
          <w:position w:val="-6"/>
        </w:rPr>
        <w:object w:dxaOrig="220" w:dyaOrig="240">
          <v:shape id="_x0000_i1083" type="#_x0000_t75" alt="" style="width:11pt;height:12pt;mso-width-percent:0;mso-height-percent:0;mso-width-percent:0;mso-height-percent:0" o:ole="">
            <v:imagedata r:id="rId133" o:title=""/>
          </v:shape>
          <o:OLEObject Type="Embed" ProgID="Equation.DSMT4" ShapeID="_x0000_i1083" DrawAspect="Content" ObjectID="_1727522192" r:id="rId134"/>
        </w:object>
      </w:r>
      <w:r w:rsidRPr="00D5683B">
        <w:rPr>
          <w:rFonts w:cstheme="minorHAnsi"/>
        </w:rPr>
        <w:t xml:space="preserve">, and </w:t>
      </w:r>
      <w:r w:rsidR="00E04318" w:rsidRPr="00D5683B">
        <w:rPr>
          <w:noProof/>
        </w:rPr>
        <w:object w:dxaOrig="139" w:dyaOrig="160">
          <v:shape id="_x0000_i1084" type="#_x0000_t75" alt="" style="width:7pt;height:8pt;mso-width-percent:0;mso-height-percent:0;mso-width-percent:0;mso-height-percent:0" o:ole="">
            <v:imagedata r:id="rId135" o:title=""/>
          </v:shape>
          <o:OLEObject Type="Embed" ProgID="Equation.DSMT4" ShapeID="_x0000_i1084" DrawAspect="Content" ObjectID="_1727522193" r:id="rId136"/>
        </w:object>
      </w:r>
      <w:r w:rsidRPr="00D5683B">
        <w:rPr>
          <w:rFonts w:cstheme="minorHAnsi"/>
        </w:rPr>
        <w:t xml:space="preserve"> in increasing order.  Justify your answer.</w:t>
      </w:r>
    </w:p>
    <w:p w:rsidR="00D5683B" w:rsidRPr="00D5683B" w:rsidRDefault="00D5683B" w:rsidP="00D5683B">
      <w:pPr>
        <w:pStyle w:val="ListParagraph"/>
        <w:numPr>
          <w:ilvl w:val="1"/>
          <w:numId w:val="26"/>
        </w:numPr>
        <w:ind w:left="810" w:hanging="90"/>
        <w:rPr>
          <w:rFonts w:cstheme="minorHAnsi"/>
        </w:rPr>
      </w:pPr>
      <w:r w:rsidRPr="00D5683B">
        <w:rPr>
          <w:rFonts w:cstheme="minorHAnsi"/>
        </w:rPr>
        <w:t xml:space="preserve">Is </w:t>
      </w:r>
      <w:r w:rsidR="00E04318" w:rsidRPr="00D5683B">
        <w:rPr>
          <w:noProof/>
          <w:position w:val="-6"/>
        </w:rPr>
        <w:object w:dxaOrig="180" w:dyaOrig="240">
          <v:shape id="_x0000_i1085" type="#_x0000_t75" alt="" style="width:9pt;height:12pt;mso-width-percent:0;mso-height-percent:0;mso-width-percent:0;mso-height-percent:0" o:ole="">
            <v:imagedata r:id="rId137" o:title=""/>
          </v:shape>
          <o:OLEObject Type="Embed" ProgID="Equation.DSMT4" ShapeID="_x0000_i1085" DrawAspect="Content" ObjectID="_1727522194" r:id="rId138"/>
        </w:object>
      </w:r>
      <w:r w:rsidRPr="00D5683B">
        <w:rPr>
          <w:rFonts w:cstheme="minorHAnsi"/>
        </w:rPr>
        <w:t xml:space="preserve"> or </w:t>
      </w:r>
      <w:r w:rsidR="00E04318" w:rsidRPr="00D5683B">
        <w:rPr>
          <w:noProof/>
          <w:position w:val="-6"/>
        </w:rPr>
        <w:object w:dxaOrig="300" w:dyaOrig="240">
          <v:shape id="_x0000_i1086" type="#_x0000_t75" alt="" style="width:15pt;height:12pt;mso-width-percent:0;mso-height-percent:0;mso-width-percent:0;mso-height-percent:0" o:ole="">
            <v:imagedata r:id="rId139" o:title=""/>
          </v:shape>
          <o:OLEObject Type="Embed" ProgID="Equation.DSMT4" ShapeID="_x0000_i1086" DrawAspect="Content" ObjectID="_1727522195" r:id="rId140"/>
        </w:object>
      </w:r>
      <w:r w:rsidRPr="00D5683B">
        <w:rPr>
          <w:rFonts w:cstheme="minorHAnsi"/>
        </w:rPr>
        <w:t xml:space="preserve"> a better estimate of </w:t>
      </w:r>
      <w:r w:rsidR="00E04318" w:rsidRPr="00D5683B">
        <w:rPr>
          <w:noProof/>
        </w:rPr>
        <w:object w:dxaOrig="139" w:dyaOrig="160">
          <v:shape id="_x0000_i1087" type="#_x0000_t75" alt="" style="width:7pt;height:8pt;mso-width-percent:0;mso-height-percent:0;mso-width-percent:0;mso-height-percent:0" o:ole="">
            <v:imagedata r:id="rId141" o:title=""/>
          </v:shape>
          <o:OLEObject Type="Embed" ProgID="Equation.DSMT4" ShapeID="_x0000_i1087" DrawAspect="Content" ObjectID="_1727522196" r:id="rId142"/>
        </w:object>
      </w:r>
      <w:r w:rsidRPr="00D5683B">
        <w:rPr>
          <w:rFonts w:cstheme="minorHAnsi"/>
        </w:rPr>
        <w:t>?  Justify your answer.</w:t>
      </w:r>
    </w:p>
    <w:p w:rsidR="00D5683B" w:rsidRPr="00D5683B" w:rsidRDefault="00D5683B" w:rsidP="00D5683B">
      <w:pPr>
        <w:rPr>
          <w:rFonts w:cstheme="minorHAnsi"/>
        </w:rPr>
      </w:pPr>
    </w:p>
    <w:p w:rsidR="002846E1" w:rsidRPr="002846E1" w:rsidRDefault="002846E1" w:rsidP="002846E1">
      <w:pPr>
        <w:rPr>
          <w:rFonts w:cstheme="minorHAnsi"/>
        </w:rPr>
      </w:pPr>
    </w:p>
    <w:p w:rsidR="005C2FC5" w:rsidRPr="00F76BBF" w:rsidRDefault="005C2FC5">
      <w:pPr>
        <w:rPr>
          <w:rFonts w:cstheme="minorHAnsi"/>
        </w:rPr>
      </w:pPr>
    </w:p>
    <w:sectPr w:rsidR="005C2FC5" w:rsidRPr="00F76BBF">
      <w:headerReference w:type="default" r:id="rId143"/>
      <w:footerReference w:type="default" r:id="rId1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93A" w:rsidRDefault="002A593A" w:rsidP="00306B14">
      <w:pPr>
        <w:spacing w:line="240" w:lineRule="auto"/>
      </w:pPr>
      <w:r>
        <w:separator/>
      </w:r>
    </w:p>
  </w:endnote>
  <w:endnote w:type="continuationSeparator" w:id="0">
    <w:p w:rsidR="002A593A" w:rsidRDefault="002A593A" w:rsidP="00306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B14" w:rsidRDefault="00306B14" w:rsidP="00306B14">
    <w:pPr>
      <w:pStyle w:val="Footer"/>
      <w:spacing w:before="120"/>
      <w:jc w:val="center"/>
      <w:rPr>
        <w:rFonts w:ascii="Arial" w:hAnsi="Arial" w:cs="Arial"/>
        <w:sz w:val="16"/>
        <w:szCs w:val="16"/>
      </w:rPr>
    </w:pPr>
    <w:r>
      <w:rPr>
        <w:rFonts w:ascii="Arial" w:hAnsi="Arial" w:cs="Arial"/>
        <w:b/>
        <w:smallCaps/>
        <w:sz w:val="16"/>
        <w:szCs w:val="16"/>
      </w:rPr>
      <w:t>©201</w:t>
    </w:r>
    <w:r>
      <w:rPr>
        <w:rFonts w:ascii="Arial" w:hAnsi="Arial" w:cs="Arial"/>
        <w:b/>
        <w:smallCaps/>
        <w:sz w:val="16"/>
        <w:szCs w:val="16"/>
      </w:rPr>
      <w:t>3</w:t>
    </w:r>
    <w:r>
      <w:rPr>
        <w:rFonts w:ascii="Arial" w:hAnsi="Arial" w:cs="Arial"/>
        <w:b/>
        <w:smallCaps/>
        <w:sz w:val="16"/>
        <w:szCs w:val="16"/>
      </w:rPr>
      <w:t xml:space="preserve">-2022 </w:t>
    </w:r>
    <w:r>
      <w:rPr>
        <w:rFonts w:ascii="Arial" w:hAnsi="Arial" w:cs="Arial"/>
        <w:b/>
        <w:sz w:val="16"/>
        <w:szCs w:val="16"/>
      </w:rPr>
      <w:t>Texas Instruments Incorporated</w:t>
    </w:r>
    <w:r>
      <w:rPr>
        <w:rFonts w:ascii="Arial" w:hAnsi="Arial" w:cs="Arial"/>
        <w:b/>
        <w:smallCaps/>
        <w:sz w:val="18"/>
        <w:szCs w:val="18"/>
      </w:rPr>
      <w:tab/>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Pr>
        <w:rStyle w:val="PageNumber"/>
        <w:rFonts w:ascii="Arial" w:hAnsi="Arial" w:cs="Arial"/>
        <w:b/>
        <w:sz w:val="18"/>
        <w:szCs w:val="18"/>
      </w:rPr>
      <w:t>2</w:t>
    </w:r>
    <w:r>
      <w:rPr>
        <w:rStyle w:val="PageNumber"/>
        <w:rFonts w:ascii="Arial" w:hAnsi="Arial" w:cs="Arial"/>
        <w:b/>
        <w:sz w:val="18"/>
        <w:szCs w:val="18"/>
      </w:rPr>
      <w:fldChar w:fldCharType="end"/>
    </w:r>
    <w:r>
      <w:rPr>
        <w:rStyle w:val="PageNumber"/>
      </w:rPr>
      <w:tab/>
    </w:r>
    <w:r>
      <w:rPr>
        <w:rStyle w:val="PageNumber"/>
        <w:rFonts w:ascii="Arial" w:hAnsi="Arial" w:cs="Arial"/>
        <w:b/>
        <w:sz w:val="16"/>
        <w:szCs w:val="16"/>
      </w:rPr>
      <w:t>education.ti.com</w:t>
    </w:r>
  </w:p>
  <w:p w:rsidR="00306B14" w:rsidRDefault="00306B14">
    <w:pPr>
      <w:pStyle w:val="Footer"/>
    </w:pPr>
  </w:p>
  <w:p w:rsidR="00306B14" w:rsidRDefault="00306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93A" w:rsidRDefault="002A593A" w:rsidP="00306B14">
      <w:pPr>
        <w:spacing w:line="240" w:lineRule="auto"/>
      </w:pPr>
      <w:r>
        <w:separator/>
      </w:r>
    </w:p>
  </w:footnote>
  <w:footnote w:type="continuationSeparator" w:id="0">
    <w:p w:rsidR="002A593A" w:rsidRDefault="002A593A" w:rsidP="00306B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B14" w:rsidRPr="00306B14" w:rsidRDefault="00306B14" w:rsidP="00306B14">
    <w:pPr>
      <w:pBdr>
        <w:bottom w:val="single" w:sz="4" w:space="1" w:color="auto"/>
      </w:pBdr>
      <w:tabs>
        <w:tab w:val="left" w:pos="720"/>
        <w:tab w:val="center" w:pos="4680"/>
        <w:tab w:val="left" w:pos="7200"/>
        <w:tab w:val="right" w:pos="9360"/>
      </w:tabs>
      <w:spacing w:line="240" w:lineRule="auto"/>
      <w:rPr>
        <w:rFonts w:ascii="Arial" w:eastAsia="Times New Roman" w:hAnsi="Arial" w:cs="Arial"/>
        <w:b/>
        <w:sz w:val="28"/>
        <w:szCs w:val="28"/>
      </w:rPr>
    </w:pPr>
    <w:r>
      <w:rPr>
        <w:noProof/>
      </w:rPr>
      <w:drawing>
        <wp:inline distT="0" distB="0" distL="0" distR="0" wp14:anchorId="42EF3530" wp14:editId="6DD84335">
          <wp:extent cx="304800" cy="292100"/>
          <wp:effectExtent l="0" t="0" r="0" b="0"/>
          <wp:docPr id="13" name="Picture 13" descr="Description: TI Logo"/>
          <wp:cNvGraphicFramePr/>
          <a:graphic xmlns:a="http://schemas.openxmlformats.org/drawingml/2006/main">
            <a:graphicData uri="http://schemas.openxmlformats.org/drawingml/2006/picture">
              <pic:pic xmlns:pic="http://schemas.openxmlformats.org/drawingml/2006/picture">
                <pic:nvPicPr>
                  <pic:cNvPr id="13" name="Picture 13" descr="Description: TI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92100"/>
                  </a:xfrm>
                  <a:prstGeom prst="rect">
                    <a:avLst/>
                  </a:prstGeom>
                  <a:noFill/>
                  <a:ln>
                    <a:noFill/>
                  </a:ln>
                </pic:spPr>
              </pic:pic>
            </a:graphicData>
          </a:graphic>
        </wp:inline>
      </w:drawing>
    </w:r>
    <w:r>
      <w:rPr>
        <w:rFonts w:ascii="Arial" w:eastAsia="Times New Roman" w:hAnsi="Arial" w:cs="Arial"/>
        <w:b/>
        <w:sz w:val="28"/>
        <w:szCs w:val="28"/>
      </w:rPr>
      <w:tab/>
    </w:r>
    <w:r w:rsidRPr="00306B14">
      <w:rPr>
        <w:rFonts w:ascii="Arial" w:eastAsia="Times New Roman" w:hAnsi="Arial" w:cs="Arial"/>
        <w:b/>
        <w:sz w:val="28"/>
        <w:szCs w:val="28"/>
      </w:rPr>
      <w:t>Rectangle and Trapezoid Approximations to Definite Integrals</w:t>
    </w:r>
  </w:p>
  <w:p w:rsidR="00306B14" w:rsidRPr="00306B14" w:rsidRDefault="00306B14" w:rsidP="00306B14">
    <w:pPr>
      <w:pBdr>
        <w:bottom w:val="single" w:sz="4" w:space="1" w:color="auto"/>
      </w:pBdr>
      <w:tabs>
        <w:tab w:val="left" w:pos="720"/>
        <w:tab w:val="center" w:pos="4680"/>
        <w:tab w:val="left" w:pos="7200"/>
        <w:tab w:val="right" w:pos="9360"/>
      </w:tabs>
      <w:spacing w:before="120" w:after="120" w:line="240" w:lineRule="auto"/>
      <w:rPr>
        <w:rFonts w:ascii="Arial" w:eastAsia="Times New Roman" w:hAnsi="Arial" w:cs="Arial"/>
        <w:b/>
        <w:sz w:val="32"/>
        <w:szCs w:val="32"/>
      </w:rPr>
    </w:pPr>
    <w:r>
      <w:rPr>
        <w:rFonts w:ascii="Arial" w:eastAsia="Times New Roman" w:hAnsi="Arial" w:cs="Arial"/>
        <w:b/>
        <w:sz w:val="32"/>
        <w:szCs w:val="32"/>
      </w:rPr>
      <w:tab/>
    </w:r>
    <w:r>
      <w:rPr>
        <w:rFonts w:ascii="Arial" w:eastAsia="Times New Roman" w:hAnsi="Arial" w:cs="Arial"/>
        <w:b/>
        <w:smallCaps/>
        <w:sz w:val="24"/>
        <w:szCs w:val="24"/>
      </w:rPr>
      <w:t xml:space="preserve">Math </w:t>
    </w:r>
    <w:proofErr w:type="spellStart"/>
    <w:r>
      <w:rPr>
        <w:rFonts w:ascii="Arial" w:eastAsia="Times New Roman" w:hAnsi="Arial" w:cs="Arial"/>
        <w:b/>
        <w:smallCaps/>
        <w:sz w:val="24"/>
        <w:szCs w:val="24"/>
      </w:rPr>
      <w:t>Nspired</w:t>
    </w:r>
    <w:proofErr w:type="spellEnd"/>
    <w:r>
      <w:rPr>
        <w:rFonts w:ascii="Arial" w:eastAsia="Times New Roman" w:hAnsi="Arial" w:cs="Arial"/>
        <w:b/>
        <w:smallCaps/>
        <w:sz w:val="20"/>
        <w:szCs w:val="20"/>
      </w:rPr>
      <w:t xml:space="preserve">  </w:t>
    </w:r>
    <w:r>
      <w:rPr>
        <w:rFonts w:ascii="Arial Bold" w:eastAsia="Times New Roman" w:hAnsi="Arial Bold" w:cs="Arial"/>
        <w:b/>
        <w:smallCaps/>
        <w:noProof/>
        <w:position w:val="-12"/>
        <w:sz w:val="20"/>
        <w:szCs w:val="20"/>
      </w:rPr>
      <w:drawing>
        <wp:inline distT="0" distB="0" distL="0" distR="0">
          <wp:extent cx="685800" cy="279400"/>
          <wp:effectExtent l="0" t="0" r="0" b="6350"/>
          <wp:docPr id="11" name="Picture 11"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79400"/>
                  </a:xfrm>
                  <a:prstGeom prst="rect">
                    <a:avLst/>
                  </a:prstGeom>
                  <a:noFill/>
                  <a:ln>
                    <a:noFill/>
                  </a:ln>
                </pic:spPr>
              </pic:pic>
            </a:graphicData>
          </a:graphic>
        </wp:inline>
      </w:drawing>
    </w:r>
    <w:r>
      <w:rPr>
        <w:rFonts w:ascii="Arial" w:eastAsia="Times New Roman" w:hAnsi="Arial" w:cs="Arial"/>
        <w:b/>
        <w:smallCaps/>
        <w:sz w:val="20"/>
        <w:szCs w:val="20"/>
      </w:rPr>
      <w:tab/>
    </w:r>
    <w:r>
      <w:rPr>
        <w:rFonts w:ascii="Arial" w:eastAsia="Times New Roman" w:hAnsi="Arial" w:cs="Arial"/>
        <w:b/>
        <w:smallCaps/>
        <w:sz w:val="20"/>
        <w:szCs w:val="20"/>
      </w:rPr>
      <w:tab/>
    </w:r>
    <w:r>
      <w:rPr>
        <w:rFonts w:ascii="Arial" w:eastAsia="Times New Roman" w:hAnsi="Arial" w:cs="Arial"/>
        <w:b/>
        <w:smallCaps/>
        <w:sz w:val="20"/>
        <w:szCs w:val="20"/>
      </w:rPr>
      <w:tab/>
    </w:r>
    <w:r>
      <w:rPr>
        <w:rFonts w:ascii="Arial" w:eastAsia="Times New Roman" w:hAnsi="Arial" w:cs="Arial"/>
        <w:b/>
        <w:sz w:val="20"/>
        <w:szCs w:val="20"/>
      </w:rPr>
      <w:t>T</w:t>
    </w:r>
    <w:r>
      <w:rPr>
        <w:rFonts w:ascii="Arial" w:eastAsia="Times New Roman" w:hAnsi="Arial" w:cs="Arial"/>
        <w:b/>
        <w:smallCaps/>
        <w:sz w:val="20"/>
        <w:szCs w:val="20"/>
      </w:rPr>
      <w:t>eacher</w:t>
    </w:r>
    <w:r>
      <w:rPr>
        <w:rFonts w:ascii="Arial" w:eastAsia="Times New Roman" w:hAnsi="Arial" w:cs="Arial"/>
        <w:b/>
        <w:sz w:val="20"/>
        <w:szCs w:val="20"/>
      </w:rPr>
      <w:t xml:space="preserve"> N</w:t>
    </w:r>
    <w:r>
      <w:rPr>
        <w:rFonts w:ascii="Arial" w:eastAsia="Times New Roman" w:hAnsi="Arial" w:cs="Arial"/>
        <w:b/>
        <w:smallCaps/>
        <w:sz w:val="20"/>
        <w:szCs w:val="20"/>
      </w:rPr>
      <w:t>otes</w:t>
    </w:r>
  </w:p>
  <w:p w:rsidR="00306B14" w:rsidRDefault="00306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3D1"/>
    <w:multiLevelType w:val="hybridMultilevel"/>
    <w:tmpl w:val="8E525BCC"/>
    <w:lvl w:ilvl="0" w:tplc="FCFCDB88">
      <w:start w:val="1"/>
      <w:numFmt w:val="lowerLetter"/>
      <w:lvlText w:val="(%1)"/>
      <w:lvlJc w:val="righ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A7EE3"/>
    <w:multiLevelType w:val="hybridMultilevel"/>
    <w:tmpl w:val="B2702338"/>
    <w:lvl w:ilvl="0" w:tplc="1A2C6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536F4E"/>
    <w:multiLevelType w:val="hybridMultilevel"/>
    <w:tmpl w:val="22A446F2"/>
    <w:lvl w:ilvl="0" w:tplc="55ECC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D0C19"/>
    <w:multiLevelType w:val="hybridMultilevel"/>
    <w:tmpl w:val="93128854"/>
    <w:lvl w:ilvl="0" w:tplc="8B3E3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A760C"/>
    <w:multiLevelType w:val="hybridMultilevel"/>
    <w:tmpl w:val="EFC88AD6"/>
    <w:lvl w:ilvl="0" w:tplc="8B3E3EC0">
      <w:start w:val="1"/>
      <w:numFmt w:val="decimal"/>
      <w:lvlText w:val="%1."/>
      <w:lvlJc w:val="right"/>
      <w:pPr>
        <w:ind w:left="720" w:hanging="360"/>
      </w:pPr>
      <w:rPr>
        <w:rFonts w:hint="default"/>
      </w:rPr>
    </w:lvl>
    <w:lvl w:ilvl="1" w:tplc="FCFCDB88">
      <w:start w:val="1"/>
      <w:numFmt w:val="lowerLetter"/>
      <w:lvlText w:val="(%2)"/>
      <w:lvlJc w:val="right"/>
      <w:pPr>
        <w:ind w:left="1440" w:hanging="360"/>
      </w:pPr>
      <w:rPr>
        <w:rFonts w:asciiTheme="minorHAnsi" w:eastAsiaTheme="minorHAnsi"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B4239"/>
    <w:multiLevelType w:val="hybridMultilevel"/>
    <w:tmpl w:val="7DE8CAE2"/>
    <w:lvl w:ilvl="0" w:tplc="8B3E3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00D67"/>
    <w:multiLevelType w:val="hybridMultilevel"/>
    <w:tmpl w:val="A5B48EE4"/>
    <w:lvl w:ilvl="0" w:tplc="8B3E3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0B2C73"/>
    <w:multiLevelType w:val="hybridMultilevel"/>
    <w:tmpl w:val="6BD6861A"/>
    <w:lvl w:ilvl="0" w:tplc="EEFE3562">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4A54C4"/>
    <w:multiLevelType w:val="hybridMultilevel"/>
    <w:tmpl w:val="0A16569E"/>
    <w:lvl w:ilvl="0" w:tplc="D218684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1F00A3"/>
    <w:multiLevelType w:val="hybridMultilevel"/>
    <w:tmpl w:val="4B14C7FE"/>
    <w:lvl w:ilvl="0" w:tplc="B74C7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893705"/>
    <w:multiLevelType w:val="hybridMultilevel"/>
    <w:tmpl w:val="090EA730"/>
    <w:lvl w:ilvl="0" w:tplc="8B3E3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533F7"/>
    <w:multiLevelType w:val="hybridMultilevel"/>
    <w:tmpl w:val="92043ACE"/>
    <w:lvl w:ilvl="0" w:tplc="56C2C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C2283C"/>
    <w:multiLevelType w:val="hybridMultilevel"/>
    <w:tmpl w:val="5FB62872"/>
    <w:lvl w:ilvl="0" w:tplc="8B3E3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530D5F"/>
    <w:multiLevelType w:val="hybridMultilevel"/>
    <w:tmpl w:val="EEACE216"/>
    <w:lvl w:ilvl="0" w:tplc="1AB86D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8F3544"/>
    <w:multiLevelType w:val="hybridMultilevel"/>
    <w:tmpl w:val="5BFC6BD2"/>
    <w:lvl w:ilvl="0" w:tplc="8B3E3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4B4EA2"/>
    <w:multiLevelType w:val="hybridMultilevel"/>
    <w:tmpl w:val="B2A0198C"/>
    <w:lvl w:ilvl="0" w:tplc="EEFE3562">
      <w:start w:val="1"/>
      <w:numFmt w:val="decimal"/>
      <w:lvlText w:val="%1."/>
      <w:lvlJc w:val="right"/>
      <w:pPr>
        <w:ind w:left="720" w:hanging="360"/>
      </w:pPr>
      <w:rPr>
        <w:rFonts w:hint="default"/>
      </w:rPr>
    </w:lvl>
    <w:lvl w:ilvl="1" w:tplc="FCFCDB88">
      <w:start w:val="1"/>
      <w:numFmt w:val="lowerLetter"/>
      <w:lvlText w:val="(%2)"/>
      <w:lvlJc w:val="right"/>
      <w:pPr>
        <w:ind w:left="1440" w:hanging="360"/>
      </w:pPr>
      <w:rPr>
        <w:rFonts w:asciiTheme="minorHAnsi" w:eastAsiaTheme="minorHAnsi"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412AD7"/>
    <w:multiLevelType w:val="hybridMultilevel"/>
    <w:tmpl w:val="74F2D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90747C"/>
    <w:multiLevelType w:val="hybridMultilevel"/>
    <w:tmpl w:val="53DA230C"/>
    <w:lvl w:ilvl="0" w:tplc="CD527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922B7C"/>
    <w:multiLevelType w:val="hybridMultilevel"/>
    <w:tmpl w:val="DC94A3FC"/>
    <w:lvl w:ilvl="0" w:tplc="116A538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5D29D0"/>
    <w:multiLevelType w:val="hybridMultilevel"/>
    <w:tmpl w:val="B6602A56"/>
    <w:lvl w:ilvl="0" w:tplc="EEFE3562">
      <w:start w:val="1"/>
      <w:numFmt w:val="decimal"/>
      <w:lvlText w:val="%1."/>
      <w:lvlJc w:val="right"/>
      <w:pPr>
        <w:ind w:left="720" w:hanging="360"/>
      </w:pPr>
      <w:rPr>
        <w:rFonts w:hint="default"/>
      </w:rPr>
    </w:lvl>
    <w:lvl w:ilvl="1" w:tplc="FCFCDB88">
      <w:start w:val="1"/>
      <w:numFmt w:val="lowerLetter"/>
      <w:lvlText w:val="(%2)"/>
      <w:lvlJc w:val="right"/>
      <w:pPr>
        <w:ind w:left="1440" w:hanging="360"/>
      </w:pPr>
      <w:rPr>
        <w:rFonts w:asciiTheme="minorHAnsi" w:eastAsiaTheme="minorHAnsi"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396F6C"/>
    <w:multiLevelType w:val="hybridMultilevel"/>
    <w:tmpl w:val="F57C423E"/>
    <w:lvl w:ilvl="0" w:tplc="0A6071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7973FB"/>
    <w:multiLevelType w:val="hybridMultilevel"/>
    <w:tmpl w:val="6B32E776"/>
    <w:lvl w:ilvl="0" w:tplc="8B3E3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1C777C"/>
    <w:multiLevelType w:val="hybridMultilevel"/>
    <w:tmpl w:val="5530AAE4"/>
    <w:lvl w:ilvl="0" w:tplc="35EAC090">
      <w:start w:val="2"/>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42BA6"/>
    <w:multiLevelType w:val="hybridMultilevel"/>
    <w:tmpl w:val="5380D168"/>
    <w:lvl w:ilvl="0" w:tplc="8B3E3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A0A66"/>
    <w:multiLevelType w:val="hybridMultilevel"/>
    <w:tmpl w:val="2EB8B360"/>
    <w:lvl w:ilvl="0" w:tplc="8B3E3EC0">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FA2AEE"/>
    <w:multiLevelType w:val="hybridMultilevel"/>
    <w:tmpl w:val="5FF82362"/>
    <w:lvl w:ilvl="0" w:tplc="8B3E3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11"/>
  </w:num>
  <w:num w:numId="4">
    <w:abstractNumId w:val="23"/>
  </w:num>
  <w:num w:numId="5">
    <w:abstractNumId w:val="2"/>
  </w:num>
  <w:num w:numId="6">
    <w:abstractNumId w:val="17"/>
  </w:num>
  <w:num w:numId="7">
    <w:abstractNumId w:val="1"/>
  </w:num>
  <w:num w:numId="8">
    <w:abstractNumId w:val="21"/>
  </w:num>
  <w:num w:numId="9">
    <w:abstractNumId w:val="25"/>
  </w:num>
  <w:num w:numId="10">
    <w:abstractNumId w:val="18"/>
  </w:num>
  <w:num w:numId="11">
    <w:abstractNumId w:val="12"/>
  </w:num>
  <w:num w:numId="12">
    <w:abstractNumId w:val="0"/>
  </w:num>
  <w:num w:numId="13">
    <w:abstractNumId w:val="8"/>
  </w:num>
  <w:num w:numId="14">
    <w:abstractNumId w:val="6"/>
  </w:num>
  <w:num w:numId="15">
    <w:abstractNumId w:val="14"/>
  </w:num>
  <w:num w:numId="16">
    <w:abstractNumId w:val="10"/>
  </w:num>
  <w:num w:numId="17">
    <w:abstractNumId w:val="22"/>
  </w:num>
  <w:num w:numId="18">
    <w:abstractNumId w:val="9"/>
  </w:num>
  <w:num w:numId="19">
    <w:abstractNumId w:val="13"/>
  </w:num>
  <w:num w:numId="20">
    <w:abstractNumId w:val="20"/>
  </w:num>
  <w:num w:numId="21">
    <w:abstractNumId w:val="7"/>
  </w:num>
  <w:num w:numId="22">
    <w:abstractNumId w:val="4"/>
  </w:num>
  <w:num w:numId="23">
    <w:abstractNumId w:val="5"/>
  </w:num>
  <w:num w:numId="24">
    <w:abstractNumId w:val="19"/>
  </w:num>
  <w:num w:numId="25">
    <w:abstractNumId w:val="2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993"/>
    <w:rsid w:val="00003437"/>
    <w:rsid w:val="000B191D"/>
    <w:rsid w:val="000F1824"/>
    <w:rsid w:val="001805B1"/>
    <w:rsid w:val="001A2DD0"/>
    <w:rsid w:val="001A355B"/>
    <w:rsid w:val="001A4083"/>
    <w:rsid w:val="001B1F23"/>
    <w:rsid w:val="00201EC5"/>
    <w:rsid w:val="0020421C"/>
    <w:rsid w:val="002846E1"/>
    <w:rsid w:val="002A593A"/>
    <w:rsid w:val="002B1B83"/>
    <w:rsid w:val="00306B14"/>
    <w:rsid w:val="003304BA"/>
    <w:rsid w:val="0033491F"/>
    <w:rsid w:val="0033521D"/>
    <w:rsid w:val="00352C1E"/>
    <w:rsid w:val="00354DE5"/>
    <w:rsid w:val="00380FDA"/>
    <w:rsid w:val="00394DB1"/>
    <w:rsid w:val="003D0484"/>
    <w:rsid w:val="00421840"/>
    <w:rsid w:val="00476DC1"/>
    <w:rsid w:val="004A70C2"/>
    <w:rsid w:val="004E33D1"/>
    <w:rsid w:val="005122BB"/>
    <w:rsid w:val="0058020F"/>
    <w:rsid w:val="005848FA"/>
    <w:rsid w:val="005C287B"/>
    <w:rsid w:val="005C2FC5"/>
    <w:rsid w:val="005F1494"/>
    <w:rsid w:val="00734877"/>
    <w:rsid w:val="00735437"/>
    <w:rsid w:val="0075759F"/>
    <w:rsid w:val="00766954"/>
    <w:rsid w:val="007921F4"/>
    <w:rsid w:val="007D0453"/>
    <w:rsid w:val="007F3966"/>
    <w:rsid w:val="007F3993"/>
    <w:rsid w:val="00805741"/>
    <w:rsid w:val="00854ACB"/>
    <w:rsid w:val="0087175C"/>
    <w:rsid w:val="008D7ABF"/>
    <w:rsid w:val="00944F4B"/>
    <w:rsid w:val="00A60BE3"/>
    <w:rsid w:val="00A67E61"/>
    <w:rsid w:val="00B31BAB"/>
    <w:rsid w:val="00B452E8"/>
    <w:rsid w:val="00B97BE8"/>
    <w:rsid w:val="00BA7192"/>
    <w:rsid w:val="00C15EFD"/>
    <w:rsid w:val="00C26068"/>
    <w:rsid w:val="00C40A1B"/>
    <w:rsid w:val="00C9384C"/>
    <w:rsid w:val="00C9797E"/>
    <w:rsid w:val="00CE1750"/>
    <w:rsid w:val="00D03DEC"/>
    <w:rsid w:val="00D53329"/>
    <w:rsid w:val="00D5683B"/>
    <w:rsid w:val="00D56CBD"/>
    <w:rsid w:val="00DA27E8"/>
    <w:rsid w:val="00DA2B7C"/>
    <w:rsid w:val="00DC761D"/>
    <w:rsid w:val="00DD4FDD"/>
    <w:rsid w:val="00E04318"/>
    <w:rsid w:val="00E579F7"/>
    <w:rsid w:val="00EA7C30"/>
    <w:rsid w:val="00F76BBF"/>
    <w:rsid w:val="00F83409"/>
    <w:rsid w:val="00FA6A1A"/>
    <w:rsid w:val="00FC46DB"/>
    <w:rsid w:val="00FD79B1"/>
    <w:rsid w:val="00FF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6210"/>
  <w15:chartTrackingRefBased/>
  <w15:docId w15:val="{74F49ADF-ED47-4776-9403-3AFE3546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5C2FC5"/>
    <w:pPr>
      <w:tabs>
        <w:tab w:val="center" w:pos="4680"/>
        <w:tab w:val="right" w:pos="9360"/>
      </w:tabs>
    </w:pPr>
  </w:style>
  <w:style w:type="character" w:customStyle="1" w:styleId="MTDisplayEquationChar">
    <w:name w:val="MTDisplayEquation Char"/>
    <w:basedOn w:val="DefaultParagraphFont"/>
    <w:link w:val="MTDisplayEquation"/>
    <w:rsid w:val="005C2FC5"/>
  </w:style>
  <w:style w:type="table" w:styleId="TableGrid">
    <w:name w:val="Table Grid"/>
    <w:basedOn w:val="TableNormal"/>
    <w:uiPriority w:val="39"/>
    <w:rsid w:val="00C9384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191D"/>
    <w:pPr>
      <w:ind w:left="720"/>
      <w:contextualSpacing/>
    </w:pPr>
  </w:style>
  <w:style w:type="paragraph" w:styleId="Header">
    <w:name w:val="header"/>
    <w:basedOn w:val="Normal"/>
    <w:link w:val="HeaderChar"/>
    <w:uiPriority w:val="99"/>
    <w:unhideWhenUsed/>
    <w:rsid w:val="00306B14"/>
    <w:pPr>
      <w:tabs>
        <w:tab w:val="center" w:pos="4680"/>
        <w:tab w:val="right" w:pos="9360"/>
      </w:tabs>
      <w:spacing w:line="240" w:lineRule="auto"/>
    </w:pPr>
  </w:style>
  <w:style w:type="character" w:customStyle="1" w:styleId="HeaderChar">
    <w:name w:val="Header Char"/>
    <w:basedOn w:val="DefaultParagraphFont"/>
    <w:link w:val="Header"/>
    <w:uiPriority w:val="99"/>
    <w:rsid w:val="00306B14"/>
  </w:style>
  <w:style w:type="paragraph" w:styleId="Footer">
    <w:name w:val="footer"/>
    <w:basedOn w:val="Normal"/>
    <w:link w:val="FooterChar"/>
    <w:uiPriority w:val="99"/>
    <w:unhideWhenUsed/>
    <w:rsid w:val="00306B14"/>
    <w:pPr>
      <w:tabs>
        <w:tab w:val="center" w:pos="4680"/>
        <w:tab w:val="right" w:pos="9360"/>
      </w:tabs>
      <w:spacing w:line="240" w:lineRule="auto"/>
    </w:pPr>
  </w:style>
  <w:style w:type="character" w:customStyle="1" w:styleId="FooterChar">
    <w:name w:val="Footer Char"/>
    <w:basedOn w:val="DefaultParagraphFont"/>
    <w:link w:val="Footer"/>
    <w:uiPriority w:val="99"/>
    <w:rsid w:val="00306B14"/>
  </w:style>
  <w:style w:type="character" w:styleId="PageNumber">
    <w:name w:val="page number"/>
    <w:uiPriority w:val="99"/>
    <w:semiHidden/>
    <w:unhideWhenUsed/>
    <w:rsid w:val="00306B1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334832">
      <w:bodyDiv w:val="1"/>
      <w:marLeft w:val="0"/>
      <w:marRight w:val="0"/>
      <w:marTop w:val="0"/>
      <w:marBottom w:val="0"/>
      <w:divBdr>
        <w:top w:val="none" w:sz="0" w:space="0" w:color="auto"/>
        <w:left w:val="none" w:sz="0" w:space="0" w:color="auto"/>
        <w:bottom w:val="none" w:sz="0" w:space="0" w:color="auto"/>
        <w:right w:val="none" w:sz="0" w:space="0" w:color="auto"/>
      </w:divBdr>
    </w:div>
    <w:div w:id="1512839914">
      <w:bodyDiv w:val="1"/>
      <w:marLeft w:val="0"/>
      <w:marRight w:val="0"/>
      <w:marTop w:val="0"/>
      <w:marBottom w:val="0"/>
      <w:divBdr>
        <w:top w:val="none" w:sz="0" w:space="0" w:color="auto"/>
        <w:left w:val="none" w:sz="0" w:space="0" w:color="auto"/>
        <w:bottom w:val="none" w:sz="0" w:space="0" w:color="auto"/>
        <w:right w:val="none" w:sz="0" w:space="0" w:color="auto"/>
      </w:divBdr>
    </w:div>
    <w:div w:id="155415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1.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image" Target="media/image43.png"/><Relationship Id="rId138" Type="http://schemas.openxmlformats.org/officeDocument/2006/relationships/oleObject" Target="embeddings/oleObject61.bin"/><Relationship Id="rId107" Type="http://schemas.openxmlformats.org/officeDocument/2006/relationships/image" Target="media/image56.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image" Target="media/image36.png"/><Relationship Id="rId128" Type="http://schemas.openxmlformats.org/officeDocument/2006/relationships/oleObject" Target="embeddings/oleObject56.bin"/><Relationship Id="rId5" Type="http://schemas.openxmlformats.org/officeDocument/2006/relationships/footnotes" Target="footnotes.xml"/><Relationship Id="rId90" Type="http://schemas.openxmlformats.org/officeDocument/2006/relationships/oleObject" Target="embeddings/oleObject37.bin"/><Relationship Id="rId95" Type="http://schemas.openxmlformats.org/officeDocument/2006/relationships/image" Target="media/image50.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png"/><Relationship Id="rId113" Type="http://schemas.openxmlformats.org/officeDocument/2006/relationships/image" Target="media/image59.wmf"/><Relationship Id="rId118" Type="http://schemas.openxmlformats.org/officeDocument/2006/relationships/oleObject" Target="embeddings/oleObject51.bin"/><Relationship Id="rId134" Type="http://schemas.openxmlformats.org/officeDocument/2006/relationships/oleObject" Target="embeddings/oleObject59.bin"/><Relationship Id="rId139" Type="http://schemas.openxmlformats.org/officeDocument/2006/relationships/image" Target="media/image72.wmf"/><Relationship Id="rId80" Type="http://schemas.openxmlformats.org/officeDocument/2006/relationships/image" Target="media/image41.wmf"/><Relationship Id="rId85" Type="http://schemas.openxmlformats.org/officeDocument/2006/relationships/image" Target="media/image44.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54.wmf"/><Relationship Id="rId108" Type="http://schemas.openxmlformats.org/officeDocument/2006/relationships/oleObject" Target="embeddings/oleObject46.bin"/><Relationship Id="rId124" Type="http://schemas.openxmlformats.org/officeDocument/2006/relationships/oleObject" Target="embeddings/oleObject54.bin"/><Relationship Id="rId129" Type="http://schemas.openxmlformats.org/officeDocument/2006/relationships/image" Target="media/image67.wmf"/><Relationship Id="rId54" Type="http://schemas.openxmlformats.org/officeDocument/2006/relationships/oleObject" Target="embeddings/oleObject24.bin"/><Relationship Id="rId70" Type="http://schemas.openxmlformats.org/officeDocument/2006/relationships/image" Target="media/image33.png"/><Relationship Id="rId75" Type="http://schemas.openxmlformats.org/officeDocument/2006/relationships/image" Target="media/image37.wmf"/><Relationship Id="rId91" Type="http://schemas.openxmlformats.org/officeDocument/2006/relationships/image" Target="media/image48.wmf"/><Relationship Id="rId96" Type="http://schemas.openxmlformats.org/officeDocument/2006/relationships/oleObject" Target="embeddings/oleObject40.bin"/><Relationship Id="rId140" Type="http://schemas.openxmlformats.org/officeDocument/2006/relationships/oleObject" Target="embeddings/oleObject62.bin"/><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49.bin"/><Relationship Id="rId119" Type="http://schemas.openxmlformats.org/officeDocument/2006/relationships/image" Target="media/image62.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oleObject" Target="embeddings/oleObject34.bin"/><Relationship Id="rId86" Type="http://schemas.openxmlformats.org/officeDocument/2006/relationships/oleObject" Target="embeddings/oleObject36.bin"/><Relationship Id="rId130" Type="http://schemas.openxmlformats.org/officeDocument/2006/relationships/oleObject" Target="embeddings/oleObject57.bin"/><Relationship Id="rId135" Type="http://schemas.openxmlformats.org/officeDocument/2006/relationships/image" Target="media/image70.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3.bin"/><Relationship Id="rId97" Type="http://schemas.openxmlformats.org/officeDocument/2006/relationships/image" Target="media/image51.wmf"/><Relationship Id="rId104" Type="http://schemas.openxmlformats.org/officeDocument/2006/relationships/oleObject" Target="embeddings/oleObject44.bin"/><Relationship Id="rId120" Type="http://schemas.openxmlformats.org/officeDocument/2006/relationships/oleObject" Target="embeddings/oleObject52.bin"/><Relationship Id="rId125" Type="http://schemas.openxmlformats.org/officeDocument/2006/relationships/image" Target="media/image65.wmf"/><Relationship Id="rId141" Type="http://schemas.openxmlformats.org/officeDocument/2006/relationships/image" Target="media/image73.wmf"/><Relationship Id="rId146"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4.png"/><Relationship Id="rId92" Type="http://schemas.openxmlformats.org/officeDocument/2006/relationships/oleObject" Target="embeddings/oleObject38.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5.png"/><Relationship Id="rId110" Type="http://schemas.openxmlformats.org/officeDocument/2006/relationships/oleObject" Target="embeddings/oleObject47.bin"/><Relationship Id="rId115" Type="http://schemas.openxmlformats.org/officeDocument/2006/relationships/image" Target="media/image60.wmf"/><Relationship Id="rId131" Type="http://schemas.openxmlformats.org/officeDocument/2006/relationships/image" Target="media/image68.wmf"/><Relationship Id="rId136" Type="http://schemas.openxmlformats.org/officeDocument/2006/relationships/oleObject" Target="embeddings/oleObject60.bin"/><Relationship Id="rId61" Type="http://schemas.openxmlformats.org/officeDocument/2006/relationships/image" Target="media/image28.wmf"/><Relationship Id="rId82" Type="http://schemas.openxmlformats.org/officeDocument/2006/relationships/image" Target="media/image42.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8.png"/><Relationship Id="rId100" Type="http://schemas.openxmlformats.org/officeDocument/2006/relationships/oleObject" Target="embeddings/oleObject42.bin"/><Relationship Id="rId105" Type="http://schemas.openxmlformats.org/officeDocument/2006/relationships/image" Target="media/image55.wmf"/><Relationship Id="rId126" Type="http://schemas.openxmlformats.org/officeDocument/2006/relationships/oleObject" Target="embeddings/oleObject55.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5.wmf"/><Relationship Id="rId93" Type="http://schemas.openxmlformats.org/officeDocument/2006/relationships/image" Target="media/image49.wmf"/><Relationship Id="rId98" Type="http://schemas.openxmlformats.org/officeDocument/2006/relationships/oleObject" Target="embeddings/oleObject41.bin"/><Relationship Id="rId121" Type="http://schemas.openxmlformats.org/officeDocument/2006/relationships/image" Target="media/image63.wmf"/><Relationship Id="rId142" Type="http://schemas.openxmlformats.org/officeDocument/2006/relationships/oleObject" Target="embeddings/oleObject63.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0.bin"/><Relationship Id="rId137" Type="http://schemas.openxmlformats.org/officeDocument/2006/relationships/image" Target="media/image71.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5.bin"/><Relationship Id="rId88" Type="http://schemas.openxmlformats.org/officeDocument/2006/relationships/image" Target="media/image46.png"/><Relationship Id="rId111" Type="http://schemas.openxmlformats.org/officeDocument/2006/relationships/image" Target="media/image58.wmf"/><Relationship Id="rId132" Type="http://schemas.openxmlformats.org/officeDocument/2006/relationships/oleObject" Target="embeddings/oleObject58.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45.bin"/><Relationship Id="rId127" Type="http://schemas.openxmlformats.org/officeDocument/2006/relationships/image" Target="media/image66.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2.bin"/><Relationship Id="rId78" Type="http://schemas.openxmlformats.org/officeDocument/2006/relationships/image" Target="media/image39.png"/><Relationship Id="rId94" Type="http://schemas.openxmlformats.org/officeDocument/2006/relationships/oleObject" Target="embeddings/oleObject39.bin"/><Relationship Id="rId99" Type="http://schemas.openxmlformats.org/officeDocument/2006/relationships/image" Target="media/image52.wmf"/><Relationship Id="rId101" Type="http://schemas.openxmlformats.org/officeDocument/2006/relationships/image" Target="media/image53.wmf"/><Relationship Id="rId122" Type="http://schemas.openxmlformats.org/officeDocument/2006/relationships/oleObject" Target="embeddings/oleObject53.bin"/><Relationship Id="rId14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7.wmf"/><Relationship Id="rId112" Type="http://schemas.openxmlformats.org/officeDocument/2006/relationships/oleObject" Target="embeddings/oleObject48.bin"/><Relationship Id="rId133" Type="http://schemas.openxmlformats.org/officeDocument/2006/relationships/image" Target="media/image69.wmf"/><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40.png"/><Relationship Id="rId102" Type="http://schemas.openxmlformats.org/officeDocument/2006/relationships/oleObject" Target="embeddings/oleObject43.bin"/><Relationship Id="rId123" Type="http://schemas.openxmlformats.org/officeDocument/2006/relationships/image" Target="media/image64.wmf"/><Relationship Id="rId14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5.png"/><Relationship Id="rId1" Type="http://schemas.openxmlformats.org/officeDocument/2006/relationships/image" Target="media/image7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2022-10-17T19:28:00Z</dcterms:created>
  <dcterms:modified xsi:type="dcterms:W3CDTF">2022-10-17T19:28:00Z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Full=11 pt_x000d_
Script=73 %_x000d_
ScriptScript=64 %_x000d_
Symbol=160 %_x000d_
SubSymbol=100 %_x000d_
User1=100 %_x000d_
User2=100 %_x000d_
SmallLargeIncr=1 pt_x000d_
_x000d_
[Spacing]_x000d_
LineSpacing=140 %_x000d_
MatrixRowSpacing=140 %_x000d_
MatrixColSpacing=100 %_x000d_
SuperscriptHeight=45 %_x000d_
SubscriptDepth=25 %_x000d_
SubSupG</vt:lpwstr>
  </property>
  <property fmtid="{D5CDD505-2E9C-101B-9397-08002B2CF9AE}" pid="4" name="MTPreferences 2">
    <vt:lpwstr>ap=8 %_x000d_
LimHeight=25 %_x000d_
LimDepth=90 %_x000d_
LimLineSpacing=100 %_x000d_
NumerHeight=25 %_x000d_
DenomDepth=70 %_x000d_
FractBarOver=10 %_x000d_
FractBarThick=5 %_x000d_
SubFractBarThick=5 %_x000d_
FractGap=8 %_x000d_
FenceOver=0 %_x000d_
OperSpacing=150 %_x000d_
NonOperSpacing=100 %_x000d_
CharWidth=0 %_x000d_
MinGap=8 %_x000d_
Ve</vt:lpwstr>
  </property>
  <property fmtid="{D5CDD505-2E9C-101B-9397-08002B2CF9AE}" pid="5" name="MTPreferences 3">
    <vt:lpwstr>rtRadGap=5 %_x000d_
HorizRadGap=8 %_x000d_
RadWidth=80 %_x000d_
EmbellGap=14 %_x000d_
PrimeHeight=45 %_x000d_
BoxStrokeThick=5 %_x000d_
StikeThruThick=5 %_x000d_
MatrixLineThick=5 %_x000d_
RadStrokeThick=5 %_x000d_
HorizFenceGap=10 %_x000d_
_x000d_
</vt:lpwstr>
  </property>
  <property fmtid="{D5CDD505-2E9C-101B-9397-08002B2CF9AE}" pid="6" name="MTPreferenceSource">
    <vt:lpwstr>AP Reading MathType Preference File 11 pt.eqp</vt:lpwstr>
  </property>
  <property fmtid="{D5CDD505-2E9C-101B-9397-08002B2CF9AE}" pid="7" name="MTWinEqns">
    <vt:bool>true</vt:bool>
  </property>
</Properties>
</file>